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4D72D797" w:rsidR="008D5D38" w:rsidRPr="00487FB2" w:rsidRDefault="00B869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março</w:t>
            </w:r>
            <w:r w:rsidR="001873CB">
              <w:rPr>
                <w:sz w:val="21"/>
                <w:szCs w:val="23"/>
              </w:rPr>
              <w:t xml:space="preserve"> 202</w:t>
            </w:r>
            <w:r w:rsidR="006745A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6585E0D7" w14:textId="0BEAB8BE" w:rsidR="003A4513" w:rsidRPr="00172DB6" w:rsidRDefault="00B86938" w:rsidP="00172DB6">
      <w:pPr>
        <w:pStyle w:val="A01Headline1"/>
      </w:pPr>
      <w:proofErr w:type="gramStart"/>
      <w:r w:rsidRPr="00B86938">
        <w:t>MB.CHARGE</w:t>
      </w:r>
      <w:proofErr w:type="gramEnd"/>
      <w:r w:rsidRPr="00B86938">
        <w:t xml:space="preserve"> </w:t>
      </w:r>
      <w:proofErr w:type="spellStart"/>
      <w:r w:rsidRPr="00B86938">
        <w:t>Public</w:t>
      </w:r>
      <w:proofErr w:type="spellEnd"/>
      <w:r>
        <w:t xml:space="preserve">: </w:t>
      </w:r>
      <w:r w:rsidRPr="00B86938">
        <w:t>Serviço de Carregamento Integrado com Funções Digitais Melhoradas para Carregamento Público Conveniente</w:t>
      </w:r>
    </w:p>
    <w:p w14:paraId="09BC67A4" w14:textId="287F8965" w:rsidR="004D01F3" w:rsidRPr="004E7E71" w:rsidRDefault="004D01F3" w:rsidP="00570730">
      <w:pPr>
        <w:pStyle w:val="01Flietext"/>
        <w:ind w:left="720" w:hanging="360"/>
        <w:rPr>
          <w:rFonts w:ascii="MB Corpo S Text Office" w:hAnsi="MB Corpo S Text Office"/>
          <w:lang w:eastAsia="en-US" w:bidi="ar-SA"/>
        </w:rPr>
      </w:pPr>
      <w:r w:rsidRPr="004E7E71">
        <w:rPr>
          <w:rFonts w:ascii="MB Corpo S Text Office" w:hAnsi="MB Corpo S Text Office"/>
          <w:lang w:eastAsia="en-US" w:bidi="ar-SA"/>
        </w:rPr>
        <w:t>•</w:t>
      </w:r>
      <w:r w:rsidRPr="004E7E71">
        <w:rPr>
          <w:rFonts w:ascii="MB Corpo S Text Office" w:hAnsi="MB Corpo S Text Office"/>
          <w:lang w:eastAsia="en-US" w:bidi="ar-SA"/>
        </w:rPr>
        <w:tab/>
      </w:r>
      <w:r w:rsidR="00BE18B1" w:rsidRPr="00BE18B1">
        <w:rPr>
          <w:rFonts w:ascii="MB Corpo S Text Office" w:hAnsi="MB Corpo S Text Office"/>
          <w:lang w:eastAsia="en-US"/>
        </w:rPr>
        <w:t>Com o MB.CHARGE, a Mercedes-Benz reunirá todas as soluções digitais de carregamento e conectá-las-á perfeitamente ao sistema operativo dos seus veículos elétricos</w:t>
      </w:r>
      <w:r w:rsidR="00BE18B1">
        <w:rPr>
          <w:rFonts w:ascii="MB Corpo S Text Office" w:hAnsi="MB Corpo S Text Office"/>
          <w:lang w:eastAsia="en-US"/>
        </w:rPr>
        <w:t>.</w:t>
      </w:r>
    </w:p>
    <w:p w14:paraId="1BE0A312" w14:textId="5034E143" w:rsidR="004D01F3" w:rsidRPr="004E7E71" w:rsidRDefault="004D01F3" w:rsidP="00570730">
      <w:pPr>
        <w:pStyle w:val="01Flietext"/>
        <w:ind w:left="720" w:hanging="360"/>
        <w:rPr>
          <w:rFonts w:ascii="MB Corpo S Text Office" w:hAnsi="MB Corpo S Text Office"/>
          <w:lang w:eastAsia="en-US" w:bidi="ar-SA"/>
        </w:rPr>
      </w:pPr>
      <w:r w:rsidRPr="004E7E71">
        <w:rPr>
          <w:rFonts w:ascii="MB Corpo S Text Office" w:hAnsi="MB Corpo S Text Office"/>
          <w:lang w:eastAsia="en-US" w:bidi="ar-SA"/>
        </w:rPr>
        <w:t>•</w:t>
      </w:r>
      <w:r w:rsidRPr="004E7E71">
        <w:rPr>
          <w:rFonts w:ascii="MB Corpo S Text Office" w:hAnsi="MB Corpo S Text Office"/>
          <w:lang w:eastAsia="en-US" w:bidi="ar-SA"/>
        </w:rPr>
        <w:tab/>
      </w:r>
      <w:r w:rsidR="00BE18B1" w:rsidRPr="00BE18B1">
        <w:rPr>
          <w:rFonts w:ascii="MB Corpo S Text Office" w:hAnsi="MB Corpo S Text Office"/>
          <w:lang w:eastAsia="en-US" w:bidi="ar-SA"/>
        </w:rPr>
        <w:t xml:space="preserve">A partir de meados de março de 2025, o fabricante de automóveis agrupará as funções digitais para carregamento público sob o </w:t>
      </w:r>
      <w:proofErr w:type="gramStart"/>
      <w:r w:rsidR="00BE18B1" w:rsidRPr="00BE18B1">
        <w:rPr>
          <w:rFonts w:ascii="MB Corpo S Text Office" w:hAnsi="MB Corpo S Text Office"/>
          <w:lang w:eastAsia="en-US" w:bidi="ar-SA"/>
        </w:rPr>
        <w:t>MB.CHARGE</w:t>
      </w:r>
      <w:proofErr w:type="gramEnd"/>
      <w:r w:rsidR="00BE18B1" w:rsidRPr="00BE18B1">
        <w:rPr>
          <w:rFonts w:ascii="MB Corpo S Text Office" w:hAnsi="MB Corpo S Text Office"/>
          <w:lang w:eastAsia="en-US" w:bidi="ar-SA"/>
        </w:rPr>
        <w:t xml:space="preserve"> </w:t>
      </w:r>
      <w:proofErr w:type="spellStart"/>
      <w:r w:rsidR="00BE18B1" w:rsidRPr="00BE18B1">
        <w:rPr>
          <w:rFonts w:ascii="MB Corpo S Text Office" w:hAnsi="MB Corpo S Text Office"/>
          <w:lang w:eastAsia="en-US" w:bidi="ar-SA"/>
        </w:rPr>
        <w:t>Public</w:t>
      </w:r>
      <w:proofErr w:type="spellEnd"/>
      <w:r w:rsidR="004B66EE">
        <w:rPr>
          <w:rStyle w:val="FootnoteReference"/>
          <w:rFonts w:ascii="MB Corpo S Text Office" w:hAnsi="MB Corpo S Text Office"/>
          <w:lang w:val="en-US"/>
        </w:rPr>
        <w:footnoteReference w:id="1"/>
      </w:r>
      <w:r w:rsidR="00BE18B1" w:rsidRPr="00BE18B1">
        <w:rPr>
          <w:rFonts w:ascii="MB Corpo S Text Office" w:hAnsi="MB Corpo S Text Office"/>
          <w:lang w:eastAsia="en-US" w:bidi="ar-SA"/>
        </w:rPr>
        <w:t>, substituindo o serviço anterior Mercedes me Charge.</w:t>
      </w:r>
    </w:p>
    <w:p w14:paraId="2D349D3E" w14:textId="64175748" w:rsidR="008F7194" w:rsidRPr="00E40BE2" w:rsidRDefault="008F7194" w:rsidP="00BE18B1">
      <w:pPr>
        <w:pStyle w:val="01Flietext"/>
        <w:rPr>
          <w:rFonts w:ascii="MB Corpo S Text Office" w:hAnsi="MB Corpo S Text Office"/>
          <w:lang w:eastAsia="en-US" w:bidi="ar-SA"/>
        </w:rPr>
      </w:pPr>
    </w:p>
    <w:p w14:paraId="05D09540" w14:textId="77777777" w:rsidR="009331A4" w:rsidRPr="00C7165D" w:rsidRDefault="009331A4" w:rsidP="009331A4">
      <w:pPr>
        <w:pStyle w:val="02Flietextbold"/>
      </w:pPr>
    </w:p>
    <w:p w14:paraId="01C10C5A" w14:textId="214A9930" w:rsidR="00C93A1E" w:rsidRPr="00C93A1E" w:rsidRDefault="00C93A1E" w:rsidP="00C93A1E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93A1E">
        <w:rPr>
          <w:rFonts w:eastAsia="Times New Roman" w:cs="Times New Roman"/>
          <w:szCs w:val="21"/>
        </w:rPr>
        <w:t xml:space="preserve">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tornar-se-á o </w:t>
      </w:r>
      <w:r w:rsidR="004D19BD">
        <w:rPr>
          <w:rFonts w:eastAsia="Times New Roman" w:cs="Times New Roman"/>
          <w:szCs w:val="21"/>
        </w:rPr>
        <w:t>agregador</w:t>
      </w:r>
      <w:r w:rsidRPr="00C93A1E">
        <w:rPr>
          <w:rFonts w:eastAsia="Times New Roman" w:cs="Times New Roman"/>
          <w:szCs w:val="21"/>
        </w:rPr>
        <w:t xml:space="preserve"> para as soluções digitais de carregamento da Mercedes-Benz. O ecossistema de carregamento abrangente visa proporcionar aos clientes uma experiência de carregamento perfeitamente conectada e conveniente com os veículos elétricos da marca – em movimento, em casa e no trabalho.</w:t>
      </w:r>
    </w:p>
    <w:p w14:paraId="66038859" w14:textId="77777777" w:rsidR="00C93A1E" w:rsidRPr="00C93A1E" w:rsidRDefault="00C93A1E" w:rsidP="00C93A1E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05E71601" w14:textId="30AD562A" w:rsidR="00C93A1E" w:rsidRPr="00C93A1E" w:rsidRDefault="00C93A1E" w:rsidP="00C93A1E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93A1E">
        <w:rPr>
          <w:rFonts w:eastAsia="Times New Roman" w:cs="Times New Roman"/>
          <w:szCs w:val="21"/>
        </w:rPr>
        <w:t xml:space="preserve">Numa primeira fase, o serviço de carregamento integrado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 xml:space="preserve"> substituirá o serviço anterior Mercedes me Charge. 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 xml:space="preserve"> agrupará funções digitais para carregamento público e oferecerá funcionalidades ampliadas para tornar o carregamento ainda mais conveniente. Os preços e tarifas de carregamento permanecerão inalterados no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 xml:space="preserve"> em comparação com o serviço anterior. Os contratos existentes do Mercedes me Charge serão automaticamente transferidos para a mesma tarifa no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 xml:space="preserve">. Os cartões de carregamento RFID do Mercedes me Charge atuais continuarão válidos e funcionais. 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 xml:space="preserve"> está disponível para todos os </w:t>
      </w:r>
      <w:r w:rsidR="0008419E">
        <w:rPr>
          <w:rFonts w:eastAsia="Times New Roman" w:cs="Times New Roman"/>
          <w:szCs w:val="21"/>
        </w:rPr>
        <w:t>veículos</w:t>
      </w:r>
      <w:r w:rsidRPr="00C93A1E">
        <w:rPr>
          <w:rFonts w:eastAsia="Times New Roman" w:cs="Times New Roman"/>
          <w:szCs w:val="21"/>
        </w:rPr>
        <w:t xml:space="preserve"> elétricos e vans da Mercedes-Benz, bem como para híbridos plug-in.</w:t>
      </w:r>
    </w:p>
    <w:p w14:paraId="0D43D66B" w14:textId="77777777" w:rsidR="00C93A1E" w:rsidRPr="00C93A1E" w:rsidRDefault="00C93A1E" w:rsidP="00C93A1E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60AA1F33" w14:textId="77777777" w:rsidR="004B66EE" w:rsidRDefault="00C93A1E" w:rsidP="00C93A1E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93A1E">
        <w:rPr>
          <w:rFonts w:eastAsia="Times New Roman" w:cs="Times New Roman"/>
          <w:szCs w:val="21"/>
        </w:rPr>
        <w:t>Ao combinar navegação inteligente com um serviço de carregamento digital integrado, a Mercedes-Benz demonstra a sofisticação tecnológica dos seus veículos. As funções de carregamento estão perfeitamente integradas no sistema multimédia MBUX e na aplicação Mercedes-Benz, permitindo a operação através de uma única interface de utilizador. A integração profunda do veículo e a conectividade com a infraestrutura de carregamento tornam o carregamento público mais fácil e atendem aos principais requisitos dos clientes para a eletromobilidade.</w:t>
      </w:r>
    </w:p>
    <w:p w14:paraId="719329B6" w14:textId="6B29A2A9" w:rsidR="00C93A1E" w:rsidRPr="001011D6" w:rsidRDefault="00C93A1E" w:rsidP="00C93A1E">
      <w:pPr>
        <w:spacing w:after="280"/>
        <w:contextualSpacing/>
        <w:textAlignment w:val="baseline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lastRenderedPageBreak/>
        <w:t xml:space="preserve">Benefícios para o Cliente do </w:t>
      </w:r>
      <w:proofErr w:type="gramStart"/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t>MB.CHARGE</w:t>
      </w:r>
      <w:proofErr w:type="gramEnd"/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t xml:space="preserve"> Public</w:t>
      </w:r>
    </w:p>
    <w:p w14:paraId="35B4143E" w14:textId="77777777" w:rsidR="00C93A1E" w:rsidRPr="00C93A1E" w:rsidRDefault="00C93A1E" w:rsidP="00C93A1E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27960FA4" w14:textId="5C88D79A" w:rsidR="00C93A1E" w:rsidRDefault="00C93A1E" w:rsidP="00C93A1E">
      <w:pPr>
        <w:pStyle w:val="ListParagraph"/>
        <w:numPr>
          <w:ilvl w:val="0"/>
          <w:numId w:val="46"/>
        </w:numPr>
        <w:spacing w:after="280"/>
        <w:textAlignment w:val="baseline"/>
        <w:rPr>
          <w:rFonts w:eastAsia="Times New Roman" w:cs="Times New Roman"/>
          <w:szCs w:val="21"/>
        </w:rPr>
      </w:pPr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t>Uma das Maiores Redes de Carregamento do Mundo:</w:t>
      </w:r>
      <w:r w:rsidRPr="00C93A1E">
        <w:rPr>
          <w:rFonts w:eastAsia="Times New Roman" w:cs="Times New Roman"/>
          <w:szCs w:val="21"/>
        </w:rPr>
        <w:t xml:space="preserve"> Com mais de 2,3 milhões de pontos de carregamento de mais de 1.600 operadores de estações de carregamento, os clientes têm acesso fácil a uma das maiores redes de carregamento do mundo através do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>. Mais de 850.000 desses pontos de carregamento estão localizados na Europa.</w:t>
      </w:r>
    </w:p>
    <w:p w14:paraId="63415C50" w14:textId="77777777" w:rsidR="00C93A1E" w:rsidRPr="00C93A1E" w:rsidRDefault="00C93A1E" w:rsidP="00C93A1E">
      <w:pPr>
        <w:pStyle w:val="ListParagraph"/>
        <w:spacing w:after="280"/>
        <w:textAlignment w:val="baseline"/>
        <w:rPr>
          <w:rFonts w:eastAsia="Times New Roman" w:cs="Times New Roman"/>
          <w:szCs w:val="21"/>
        </w:rPr>
      </w:pPr>
    </w:p>
    <w:p w14:paraId="28CAF357" w14:textId="324398AB" w:rsidR="00C93A1E" w:rsidRPr="00C93A1E" w:rsidRDefault="00C93A1E" w:rsidP="00C93A1E">
      <w:pPr>
        <w:pStyle w:val="ListParagraph"/>
        <w:numPr>
          <w:ilvl w:val="0"/>
          <w:numId w:val="46"/>
        </w:numPr>
        <w:spacing w:after="280"/>
        <w:textAlignment w:val="baseline"/>
        <w:rPr>
          <w:rFonts w:eastAsia="Times New Roman" w:cs="Times New Roman"/>
          <w:szCs w:val="21"/>
        </w:rPr>
      </w:pPr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t>Exibição de Estações de Carregamento e Planeamento de Rotas Inteligente:</w:t>
      </w:r>
      <w:r w:rsidRPr="00C93A1E">
        <w:rPr>
          <w:rFonts w:eastAsia="Times New Roman" w:cs="Times New Roman"/>
          <w:szCs w:val="21"/>
        </w:rPr>
        <w:t xml:space="preserve"> A localização exata e a disponibilidade atual dos pontos de carregamento são exibidas através da navegação MBUX, por exemplo, nas proximidades ou no destino. A navegação com Inteligência Elétrica planeia a rota mais rápida e confortável, incluindo paragens de carregamento, com base em vários fatores</w:t>
      </w:r>
      <w:r>
        <w:rPr>
          <w:rFonts w:eastAsia="Times New Roman" w:cs="Times New Roman"/>
          <w:szCs w:val="21"/>
        </w:rPr>
        <w:t>.</w:t>
      </w:r>
    </w:p>
    <w:p w14:paraId="59A4F800" w14:textId="77777777" w:rsidR="00C93A1E" w:rsidRPr="00C93A1E" w:rsidRDefault="00C93A1E" w:rsidP="00C93A1E">
      <w:pPr>
        <w:pStyle w:val="ListParagraph"/>
        <w:spacing w:after="280"/>
        <w:textAlignment w:val="baseline"/>
        <w:rPr>
          <w:rFonts w:eastAsia="Times New Roman" w:cs="Times New Roman"/>
          <w:szCs w:val="21"/>
        </w:rPr>
      </w:pPr>
    </w:p>
    <w:p w14:paraId="70C10F15" w14:textId="3256015A" w:rsidR="00C93A1E" w:rsidRDefault="00C93A1E" w:rsidP="00C93A1E">
      <w:pPr>
        <w:pStyle w:val="ListParagraph"/>
        <w:numPr>
          <w:ilvl w:val="0"/>
          <w:numId w:val="46"/>
        </w:numPr>
        <w:spacing w:after="280"/>
        <w:textAlignment w:val="baseline"/>
        <w:rPr>
          <w:rFonts w:eastAsia="Times New Roman" w:cs="Times New Roman"/>
          <w:szCs w:val="21"/>
        </w:rPr>
      </w:pPr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t>Início de Carregamento Fácil:</w:t>
      </w:r>
      <w:r w:rsidRPr="00C93A1E">
        <w:rPr>
          <w:rFonts w:eastAsia="Times New Roman" w:cs="Times New Roman"/>
          <w:szCs w:val="21"/>
        </w:rPr>
        <w:t xml:space="preserve"> Com um contrato de carregamento no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>, os clientes carregam sempre de forma habitual e amigável, independentemente do operador da estação de carregamento. A autenticação na estação de carregamento é feita através do sistema multimédia MBUX</w:t>
      </w:r>
      <w:r w:rsidR="0007738B">
        <w:rPr>
          <w:rStyle w:val="FootnoteReference"/>
          <w:lang w:val="en-US"/>
        </w:rPr>
        <w:footnoteReference w:id="2"/>
      </w:r>
      <w:r w:rsidRPr="00C93A1E">
        <w:rPr>
          <w:rFonts w:eastAsia="Times New Roman" w:cs="Times New Roman"/>
          <w:szCs w:val="21"/>
        </w:rPr>
        <w:t>, da aplicação Mercedes-Benz, do cartão de carregamento RFID ou diretamente através do Plug &amp; Charge</w:t>
      </w:r>
      <w:r w:rsidR="005B354A">
        <w:rPr>
          <w:rStyle w:val="FootnoteReference"/>
          <w:lang w:val="en-US"/>
        </w:rPr>
        <w:footnoteReference w:id="3"/>
      </w:r>
      <w:r w:rsidRPr="00C93A1E">
        <w:rPr>
          <w:rFonts w:eastAsia="Times New Roman" w:cs="Times New Roman"/>
          <w:szCs w:val="21"/>
        </w:rPr>
        <w:t xml:space="preserve"> nos operadores de pontos de carregamento participantes.</w:t>
      </w:r>
    </w:p>
    <w:p w14:paraId="6DE210F3" w14:textId="77777777" w:rsidR="00C93A1E" w:rsidRPr="00C93A1E" w:rsidRDefault="00C93A1E" w:rsidP="00C93A1E">
      <w:pPr>
        <w:pStyle w:val="ListParagraph"/>
        <w:spacing w:after="280"/>
        <w:textAlignment w:val="baseline"/>
        <w:rPr>
          <w:rFonts w:eastAsia="Times New Roman" w:cs="Times New Roman"/>
          <w:szCs w:val="21"/>
        </w:rPr>
      </w:pPr>
    </w:p>
    <w:p w14:paraId="64C16231" w14:textId="3B5367D5" w:rsidR="00C93A1E" w:rsidRPr="00C93A1E" w:rsidRDefault="00C93A1E" w:rsidP="00C93A1E">
      <w:pPr>
        <w:pStyle w:val="ListParagraph"/>
        <w:numPr>
          <w:ilvl w:val="0"/>
          <w:numId w:val="46"/>
        </w:numPr>
        <w:spacing w:after="280"/>
        <w:textAlignment w:val="baseline"/>
        <w:rPr>
          <w:rFonts w:eastAsia="Times New Roman" w:cs="Times New Roman"/>
          <w:szCs w:val="21"/>
        </w:rPr>
      </w:pPr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t>Custos Transparentes:</w:t>
      </w:r>
      <w:r w:rsidRPr="00C93A1E">
        <w:rPr>
          <w:rFonts w:eastAsia="Times New Roman" w:cs="Times New Roman"/>
          <w:szCs w:val="21"/>
        </w:rPr>
        <w:t xml:space="preserve"> Antes do carregamento, os preços exatos por quilowatt-hora ou minuto, bem como os custos estimados para atingir o nível máximo de carga para veículos totalmente elétricos, são exibidos. Cada processo de carregamento é automaticamente faturado através do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>.</w:t>
      </w:r>
    </w:p>
    <w:p w14:paraId="70E6E3E3" w14:textId="77777777" w:rsidR="00C93A1E" w:rsidRPr="00C93A1E" w:rsidRDefault="00C93A1E" w:rsidP="00C93A1E">
      <w:pPr>
        <w:pStyle w:val="ListParagraph"/>
        <w:spacing w:after="280"/>
        <w:textAlignment w:val="baseline"/>
        <w:rPr>
          <w:rFonts w:eastAsia="Times New Roman" w:cs="Times New Roman"/>
          <w:sz w:val="14"/>
          <w:szCs w:val="14"/>
        </w:rPr>
      </w:pPr>
    </w:p>
    <w:p w14:paraId="7356C9E8" w14:textId="62CF8EBB" w:rsidR="00C93A1E" w:rsidRDefault="00C93A1E" w:rsidP="00C93A1E">
      <w:pPr>
        <w:pStyle w:val="ListParagraph"/>
        <w:numPr>
          <w:ilvl w:val="0"/>
          <w:numId w:val="46"/>
        </w:numPr>
        <w:spacing w:after="280"/>
        <w:textAlignment w:val="baseline"/>
        <w:rPr>
          <w:rFonts w:eastAsia="Times New Roman" w:cs="Times New Roman"/>
          <w:szCs w:val="21"/>
        </w:rPr>
      </w:pPr>
      <w:r w:rsidRPr="00CF4F60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Preços Fixos para Carregamento AC/DC:</w:t>
      </w:r>
      <w:r w:rsidRPr="00C93A1E">
        <w:rPr>
          <w:rFonts w:eastAsia="Times New Roman" w:cs="Times New Roman"/>
          <w:szCs w:val="21"/>
        </w:rPr>
        <w:t xml:space="preserve"> Na Europa, os clientes escolhem uma das três tarifas do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 xml:space="preserve"> (S, M, L)</w:t>
      </w:r>
      <w:r w:rsidR="00CF4F60">
        <w:rPr>
          <w:rStyle w:val="FootnoteReference"/>
          <w:lang w:val="en-US"/>
        </w:rPr>
        <w:footnoteReference w:id="4"/>
      </w:r>
      <w:r w:rsidRPr="00C93A1E">
        <w:rPr>
          <w:rFonts w:eastAsia="Times New Roman" w:cs="Times New Roman"/>
          <w:szCs w:val="21"/>
        </w:rPr>
        <w:t>. Com as tarifas M e L, podem carregar a preços fixos atrativos para AC/DC, independentemente do operador da estação de carregamento respetiva.</w:t>
      </w:r>
    </w:p>
    <w:p w14:paraId="22F66FE8" w14:textId="77777777" w:rsidR="00C93A1E" w:rsidRPr="001011D6" w:rsidRDefault="00C93A1E" w:rsidP="00C93A1E">
      <w:pPr>
        <w:pStyle w:val="ListParagraph"/>
        <w:spacing w:after="280"/>
        <w:textAlignment w:val="baseline"/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</w:pPr>
    </w:p>
    <w:p w14:paraId="436F58B1" w14:textId="559C99FB" w:rsidR="00B12E7C" w:rsidRPr="00C93A1E" w:rsidRDefault="00C93A1E" w:rsidP="00C93A1E">
      <w:pPr>
        <w:pStyle w:val="ListParagraph"/>
        <w:numPr>
          <w:ilvl w:val="0"/>
          <w:numId w:val="46"/>
        </w:numPr>
        <w:spacing w:after="280"/>
        <w:textAlignment w:val="baseline"/>
        <w:rPr>
          <w:rFonts w:eastAsia="Times New Roman" w:cs="Segoe UI"/>
        </w:rPr>
      </w:pPr>
      <w:r w:rsidRPr="001011D6">
        <w:rPr>
          <w:rFonts w:ascii="MB Corpo S Text Office" w:eastAsiaTheme="minorEastAsia" w:hAnsi="MB Corpo S Text Office"/>
          <w:kern w:val="2"/>
          <w:szCs w:val="21"/>
          <w:lang w:val="en-GB" w:eastAsia="de-DE" w:bidi="ar-SA"/>
          <w14:ligatures w14:val="standardContextual"/>
        </w:rPr>
        <w:t>Carregamento Verde:</w:t>
      </w:r>
      <w:r w:rsidRPr="00C93A1E">
        <w:rPr>
          <w:rFonts w:eastAsia="Times New Roman" w:cs="Times New Roman"/>
          <w:szCs w:val="21"/>
        </w:rPr>
        <w:t xml:space="preserve"> Na Europa, nos EUA e no Canadá, a Mercedes-Benz garante que uma quantidade equivalente de eletricidade proveniente de fontes de energia renovável é alimentada na rede elétrica para processos de carregamento no </w:t>
      </w:r>
      <w:proofErr w:type="gramStart"/>
      <w:r w:rsidRPr="00C93A1E">
        <w:rPr>
          <w:rFonts w:eastAsia="Times New Roman" w:cs="Times New Roman"/>
          <w:szCs w:val="21"/>
        </w:rPr>
        <w:t>MB.CHARGE</w:t>
      </w:r>
      <w:proofErr w:type="gramEnd"/>
      <w:r w:rsidRPr="00C93A1E">
        <w:rPr>
          <w:rFonts w:eastAsia="Times New Roman" w:cs="Times New Roman"/>
          <w:szCs w:val="21"/>
        </w:rPr>
        <w:t xml:space="preserve"> </w:t>
      </w:r>
      <w:proofErr w:type="spellStart"/>
      <w:r w:rsidRPr="00C93A1E">
        <w:rPr>
          <w:rFonts w:eastAsia="Times New Roman" w:cs="Times New Roman"/>
          <w:szCs w:val="21"/>
        </w:rPr>
        <w:t>Public</w:t>
      </w:r>
      <w:proofErr w:type="spellEnd"/>
      <w:r w:rsidRPr="00C93A1E">
        <w:rPr>
          <w:rFonts w:eastAsia="Times New Roman" w:cs="Times New Roman"/>
          <w:szCs w:val="21"/>
        </w:rPr>
        <w:t>, caso não seja fornecida eletricidade de fontes de energia renovável.</w:t>
      </w:r>
    </w:p>
    <w:sectPr w:rsidR="00B12E7C" w:rsidRPr="00C93A1E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2D50" w14:textId="77777777" w:rsidR="006040FB" w:rsidRPr="00E675DA" w:rsidRDefault="006040FB" w:rsidP="00764B8C">
      <w:pPr>
        <w:spacing w:line="240" w:lineRule="auto"/>
      </w:pPr>
      <w:r w:rsidRPr="00E675DA">
        <w:separator/>
      </w:r>
    </w:p>
  </w:endnote>
  <w:endnote w:type="continuationSeparator" w:id="0">
    <w:p w14:paraId="7C2333E6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D2A3" w14:textId="77777777" w:rsidR="006040FB" w:rsidRPr="00E675DA" w:rsidRDefault="006040FB" w:rsidP="00764B8C">
      <w:pPr>
        <w:spacing w:line="240" w:lineRule="auto"/>
      </w:pPr>
      <w:r w:rsidRPr="00E675DA">
        <w:separator/>
      </w:r>
    </w:p>
  </w:footnote>
  <w:footnote w:type="continuationSeparator" w:id="0">
    <w:p w14:paraId="2F4F3742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footnote>
  <w:footnote w:id="1">
    <w:p w14:paraId="17B29AD0" w14:textId="2528F081" w:rsidR="004B66EE" w:rsidRPr="008923D1" w:rsidRDefault="004B66EE" w:rsidP="004B66EE">
      <w:pPr>
        <w:pStyle w:val="FootnoteText"/>
        <w:rPr>
          <w:sz w:val="15"/>
          <w:szCs w:val="15"/>
        </w:rPr>
      </w:pPr>
      <w:r w:rsidRPr="004B66EE">
        <w:rPr>
          <w:rStyle w:val="FootnoteReference"/>
          <w:sz w:val="15"/>
          <w:szCs w:val="15"/>
        </w:rPr>
        <w:footnoteRef/>
      </w:r>
      <w:r w:rsidRPr="008923D1">
        <w:rPr>
          <w:sz w:val="15"/>
          <w:szCs w:val="15"/>
        </w:rPr>
        <w:t xml:space="preserve"> </w:t>
      </w:r>
      <w:r w:rsidR="008923D1" w:rsidRPr="008923D1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Para utilizar os Extras Digitais, deve criar uma Mercedes me ID e concordar com os Termos de Utilização dos Extras Digitais e os Termos de Serviço da Mercedes me ID nas suas versões aplicáveis. Além disso, o respetivo veículo deve estar ligado à conta de utilizador. Após o término do período limitado, os Extras Digitais podem ser prolongados mediante uma taxa, desde que ainda sejam oferecidos para o veículo correspondente. Para utilizar o Extra Digital </w:t>
      </w:r>
      <w:proofErr w:type="gramStart"/>
      <w:r w:rsidR="008923D1" w:rsidRPr="008923D1">
        <w:rPr>
          <w:rFonts w:ascii="MB Corpo S Text Office Light" w:eastAsia="Times New Roman" w:hAnsi="MB Corpo S Text Office Light" w:cs="Times New Roman"/>
          <w:sz w:val="15"/>
          <w:szCs w:val="15"/>
        </w:rPr>
        <w:t>MB.CHARGE</w:t>
      </w:r>
      <w:proofErr w:type="gramEnd"/>
      <w:r w:rsidR="008923D1" w:rsidRPr="008923D1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 </w:t>
      </w:r>
      <w:proofErr w:type="spellStart"/>
      <w:r w:rsidR="008923D1" w:rsidRPr="008923D1">
        <w:rPr>
          <w:rFonts w:ascii="MB Corpo S Text Office Light" w:eastAsia="Times New Roman" w:hAnsi="MB Corpo S Text Office Light" w:cs="Times New Roman"/>
          <w:sz w:val="15"/>
          <w:szCs w:val="15"/>
        </w:rPr>
        <w:t>Public</w:t>
      </w:r>
      <w:proofErr w:type="spellEnd"/>
      <w:r w:rsidR="008923D1" w:rsidRPr="008923D1">
        <w:rPr>
          <w:rFonts w:ascii="MB Corpo S Text Office Light" w:eastAsia="Times New Roman" w:hAnsi="MB Corpo S Text Office Light" w:cs="Times New Roman"/>
          <w:sz w:val="15"/>
          <w:szCs w:val="15"/>
        </w:rPr>
        <w:t>, é necessário um contrato de carregamento específico para o cliente com um fornecedor terceirizado selecionado.</w:t>
      </w:r>
    </w:p>
  </w:footnote>
  <w:footnote w:id="2">
    <w:p w14:paraId="704FF29B" w14:textId="5CECF9CD" w:rsidR="0007738B" w:rsidRPr="0007738B" w:rsidRDefault="0007738B" w:rsidP="0007738B">
      <w:pPr>
        <w:pStyle w:val="FootnoteText"/>
        <w:rPr>
          <w:sz w:val="15"/>
          <w:szCs w:val="15"/>
          <w:lang w:val="en-US"/>
        </w:rPr>
      </w:pPr>
      <w:r w:rsidRPr="0007738B">
        <w:rPr>
          <w:rFonts w:ascii="MB Corpo S Text Office Light" w:eastAsia="Times New Roman" w:hAnsi="MB Corpo S Text Office Light" w:cs="Times New Roman"/>
          <w:sz w:val="15"/>
          <w:szCs w:val="15"/>
          <w:vertAlign w:val="superscript"/>
        </w:rPr>
        <w:footnoteRef/>
      </w:r>
      <w:r w:rsidRPr="0007738B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 </w:t>
      </w:r>
      <w:r w:rsidRPr="0007738B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Veículos </w:t>
      </w:r>
      <w:r w:rsidRPr="0007738B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NTG7 </w:t>
      </w:r>
      <w:r w:rsidRPr="0007738B">
        <w:rPr>
          <w:rFonts w:ascii="MB Corpo S Text Office Light" w:eastAsia="Times New Roman" w:hAnsi="MB Corpo S Text Office Light" w:cs="Times New Roman"/>
          <w:sz w:val="15"/>
          <w:szCs w:val="15"/>
        </w:rPr>
        <w:t>e</w:t>
      </w:r>
      <w:r w:rsidRPr="0007738B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 NTG6.</w:t>
      </w:r>
    </w:p>
  </w:footnote>
  <w:footnote w:id="3">
    <w:p w14:paraId="287EAAEB" w14:textId="7E3FF090" w:rsidR="005B354A" w:rsidRPr="00685016" w:rsidRDefault="005B354A" w:rsidP="005B354A">
      <w:pPr>
        <w:pStyle w:val="FootnoteText"/>
      </w:pPr>
      <w:r>
        <w:rPr>
          <w:rStyle w:val="FootnoteReference"/>
        </w:rPr>
        <w:footnoteRef/>
      </w:r>
      <w:r w:rsidRPr="00685016">
        <w:t xml:space="preserve"> </w:t>
      </w:r>
      <w:r w:rsidR="00685016" w:rsidRPr="00685016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Com o Plug &amp; Charge, o processo de carregamento começa ao ligar o cabo de carregamento. O veículo comunica os dados do contrato de carregamento diretamente à estação de carregamento. É necessário um contrato </w:t>
      </w:r>
      <w:proofErr w:type="gramStart"/>
      <w:r w:rsidR="00685016" w:rsidRPr="00685016">
        <w:rPr>
          <w:rFonts w:ascii="MB Corpo S Text Office Light" w:eastAsia="Times New Roman" w:hAnsi="MB Corpo S Text Office Light" w:cs="Times New Roman"/>
          <w:sz w:val="15"/>
          <w:szCs w:val="15"/>
        </w:rPr>
        <w:t>MB.CHARGE</w:t>
      </w:r>
      <w:proofErr w:type="gramEnd"/>
      <w:r w:rsidR="00685016" w:rsidRPr="00685016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 </w:t>
      </w:r>
      <w:proofErr w:type="spellStart"/>
      <w:r w:rsidR="00685016" w:rsidRPr="00685016">
        <w:rPr>
          <w:rFonts w:ascii="MB Corpo S Text Office Light" w:eastAsia="Times New Roman" w:hAnsi="MB Corpo S Text Office Light" w:cs="Times New Roman"/>
          <w:sz w:val="15"/>
          <w:szCs w:val="15"/>
        </w:rPr>
        <w:t>Public</w:t>
      </w:r>
      <w:proofErr w:type="spellEnd"/>
      <w:r w:rsidR="00685016" w:rsidRPr="00685016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 para a faturação.</w:t>
      </w:r>
    </w:p>
  </w:footnote>
  <w:footnote w:id="4">
    <w:p w14:paraId="6D26AD93" w14:textId="7595C9C2" w:rsidR="00CF4F60" w:rsidRPr="003217E1" w:rsidRDefault="00CF4F60" w:rsidP="00CF4F60">
      <w:pPr>
        <w:pStyle w:val="FootnoteText"/>
      </w:pPr>
      <w:r>
        <w:rPr>
          <w:rStyle w:val="FootnoteReference"/>
        </w:rPr>
        <w:footnoteRef/>
      </w:r>
      <w:r w:rsidRPr="003217E1">
        <w:t xml:space="preserve"> </w:t>
      </w:r>
      <w:r w:rsidR="003217E1" w:rsidRPr="003217E1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Um serviço fornecido pela Digital </w:t>
      </w:r>
      <w:proofErr w:type="spellStart"/>
      <w:r w:rsidR="003217E1" w:rsidRPr="003217E1">
        <w:rPr>
          <w:rFonts w:ascii="MB Corpo S Text Office Light" w:eastAsia="Times New Roman" w:hAnsi="MB Corpo S Text Office Light" w:cs="Times New Roman"/>
          <w:sz w:val="15"/>
          <w:szCs w:val="15"/>
        </w:rPr>
        <w:t>Charging</w:t>
      </w:r>
      <w:proofErr w:type="spellEnd"/>
      <w:r w:rsidR="003217E1" w:rsidRPr="003217E1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 </w:t>
      </w:r>
      <w:proofErr w:type="spellStart"/>
      <w:r w:rsidR="003217E1" w:rsidRPr="003217E1">
        <w:rPr>
          <w:rFonts w:ascii="MB Corpo S Text Office Light" w:eastAsia="Times New Roman" w:hAnsi="MB Corpo S Text Office Light" w:cs="Times New Roman"/>
          <w:sz w:val="15"/>
          <w:szCs w:val="15"/>
        </w:rPr>
        <w:t>Solutions</w:t>
      </w:r>
      <w:proofErr w:type="spellEnd"/>
      <w:r w:rsidR="003217E1" w:rsidRPr="003217E1">
        <w:rPr>
          <w:rFonts w:ascii="MB Corpo S Text Office Light" w:eastAsia="Times New Roman" w:hAnsi="MB Corpo S Text Office Light" w:cs="Times New Roman"/>
          <w:sz w:val="15"/>
          <w:szCs w:val="15"/>
        </w:rPr>
        <w:t xml:space="preserve"> GmbH. As tarifas e os preços de carregamento variam consoante o país.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2D05A5"/>
    <w:multiLevelType w:val="hybridMultilevel"/>
    <w:tmpl w:val="0BF6334C"/>
    <w:lvl w:ilvl="0" w:tplc="D9ECD74C">
      <w:numFmt w:val="bullet"/>
      <w:lvlText w:val="-"/>
      <w:lvlJc w:val="left"/>
      <w:pPr>
        <w:ind w:left="360" w:hanging="360"/>
      </w:pPr>
      <w:rPr>
        <w:rFonts w:ascii="MB Corpo S Text Office Light" w:eastAsiaTheme="minorEastAsia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01CA0"/>
    <w:multiLevelType w:val="hybridMultilevel"/>
    <w:tmpl w:val="84A88F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4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8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003868"/>
    <w:multiLevelType w:val="hybridMultilevel"/>
    <w:tmpl w:val="51CA10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5"/>
  </w:num>
  <w:num w:numId="12" w16cid:durableId="503475534">
    <w:abstractNumId w:val="10"/>
  </w:num>
  <w:num w:numId="13" w16cid:durableId="827093364">
    <w:abstractNumId w:val="36"/>
  </w:num>
  <w:num w:numId="14" w16cid:durableId="945311132">
    <w:abstractNumId w:val="39"/>
  </w:num>
  <w:num w:numId="15" w16cid:durableId="1653287464">
    <w:abstractNumId w:val="17"/>
  </w:num>
  <w:num w:numId="16" w16cid:durableId="12846016">
    <w:abstractNumId w:val="32"/>
  </w:num>
  <w:num w:numId="17" w16cid:durableId="1163355625">
    <w:abstractNumId w:val="30"/>
  </w:num>
  <w:num w:numId="18" w16cid:durableId="86465335">
    <w:abstractNumId w:val="13"/>
  </w:num>
  <w:num w:numId="19" w16cid:durableId="320893928">
    <w:abstractNumId w:val="33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3"/>
  </w:num>
  <w:num w:numId="23" w16cid:durableId="804931407">
    <w:abstractNumId w:val="25"/>
  </w:num>
  <w:num w:numId="24" w16cid:durableId="568462142">
    <w:abstractNumId w:val="38"/>
  </w:num>
  <w:num w:numId="25" w16cid:durableId="1304967746">
    <w:abstractNumId w:val="40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1"/>
  </w:num>
  <w:num w:numId="29" w16cid:durableId="1685980006">
    <w:abstractNumId w:val="11"/>
  </w:num>
  <w:num w:numId="30" w16cid:durableId="1529490436">
    <w:abstractNumId w:val="27"/>
  </w:num>
  <w:num w:numId="31" w16cid:durableId="2129468338">
    <w:abstractNumId w:val="20"/>
  </w:num>
  <w:num w:numId="32" w16cid:durableId="1818376290">
    <w:abstractNumId w:val="24"/>
  </w:num>
  <w:num w:numId="33" w16cid:durableId="1524319763">
    <w:abstractNumId w:val="19"/>
  </w:num>
  <w:num w:numId="34" w16cid:durableId="840778737">
    <w:abstractNumId w:val="29"/>
  </w:num>
  <w:num w:numId="35" w16cid:durableId="999311720">
    <w:abstractNumId w:val="43"/>
  </w:num>
  <w:num w:numId="36" w16cid:durableId="608664546">
    <w:abstractNumId w:val="26"/>
  </w:num>
  <w:num w:numId="37" w16cid:durableId="541285179">
    <w:abstractNumId w:val="21"/>
  </w:num>
  <w:num w:numId="38" w16cid:durableId="787701978">
    <w:abstractNumId w:val="34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4"/>
  </w:num>
  <w:num w:numId="42" w16cid:durableId="343557406">
    <w:abstractNumId w:val="28"/>
  </w:num>
  <w:num w:numId="43" w16cid:durableId="1743990120">
    <w:abstractNumId w:val="37"/>
  </w:num>
  <w:num w:numId="44" w16cid:durableId="625048212">
    <w:abstractNumId w:val="41"/>
  </w:num>
  <w:num w:numId="45" w16cid:durableId="1244756138">
    <w:abstractNumId w:val="22"/>
  </w:num>
  <w:num w:numId="46" w16cid:durableId="181806429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90F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160A"/>
    <w:rsid w:val="00041EAA"/>
    <w:rsid w:val="00041EE0"/>
    <w:rsid w:val="00044E45"/>
    <w:rsid w:val="00044EA6"/>
    <w:rsid w:val="00044F7C"/>
    <w:rsid w:val="000458B9"/>
    <w:rsid w:val="00045A88"/>
    <w:rsid w:val="000465B9"/>
    <w:rsid w:val="0004665E"/>
    <w:rsid w:val="0004691C"/>
    <w:rsid w:val="00047082"/>
    <w:rsid w:val="00052554"/>
    <w:rsid w:val="000526D6"/>
    <w:rsid w:val="00052F60"/>
    <w:rsid w:val="0005316D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4D8E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A2B"/>
    <w:rsid w:val="00076F7A"/>
    <w:rsid w:val="0007738B"/>
    <w:rsid w:val="000802DD"/>
    <w:rsid w:val="0008044E"/>
    <w:rsid w:val="00080BE8"/>
    <w:rsid w:val="00081305"/>
    <w:rsid w:val="000817C5"/>
    <w:rsid w:val="00083320"/>
    <w:rsid w:val="00083469"/>
    <w:rsid w:val="000839A9"/>
    <w:rsid w:val="00083CC3"/>
    <w:rsid w:val="000840BE"/>
    <w:rsid w:val="0008419E"/>
    <w:rsid w:val="00084785"/>
    <w:rsid w:val="00085B80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57F5"/>
    <w:rsid w:val="000F6243"/>
    <w:rsid w:val="000F6D53"/>
    <w:rsid w:val="000F7964"/>
    <w:rsid w:val="000F7B6F"/>
    <w:rsid w:val="00100936"/>
    <w:rsid w:val="00100D9A"/>
    <w:rsid w:val="001011D6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6CD0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2DB6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573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C79"/>
    <w:rsid w:val="001A6FC7"/>
    <w:rsid w:val="001A7952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204FD"/>
    <w:rsid w:val="0022182A"/>
    <w:rsid w:val="00223A21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F7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47C5"/>
    <w:rsid w:val="003158A6"/>
    <w:rsid w:val="00316976"/>
    <w:rsid w:val="003200AD"/>
    <w:rsid w:val="00320154"/>
    <w:rsid w:val="00320431"/>
    <w:rsid w:val="003205D7"/>
    <w:rsid w:val="003217E1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20B7"/>
    <w:rsid w:val="003E4266"/>
    <w:rsid w:val="003E4589"/>
    <w:rsid w:val="003E51A7"/>
    <w:rsid w:val="003E6A3E"/>
    <w:rsid w:val="003E6FF7"/>
    <w:rsid w:val="003E7250"/>
    <w:rsid w:val="003E7278"/>
    <w:rsid w:val="003E727F"/>
    <w:rsid w:val="003E78D3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541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66EE"/>
    <w:rsid w:val="004B784F"/>
    <w:rsid w:val="004B793A"/>
    <w:rsid w:val="004B7D2F"/>
    <w:rsid w:val="004C03FA"/>
    <w:rsid w:val="004C0789"/>
    <w:rsid w:val="004C0844"/>
    <w:rsid w:val="004C1A4D"/>
    <w:rsid w:val="004C2313"/>
    <w:rsid w:val="004C43DC"/>
    <w:rsid w:val="004C5D21"/>
    <w:rsid w:val="004C6994"/>
    <w:rsid w:val="004C7347"/>
    <w:rsid w:val="004C7406"/>
    <w:rsid w:val="004D01F3"/>
    <w:rsid w:val="004D19BD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E7E71"/>
    <w:rsid w:val="004F0B18"/>
    <w:rsid w:val="004F0D8D"/>
    <w:rsid w:val="004F10B6"/>
    <w:rsid w:val="004F1A6F"/>
    <w:rsid w:val="004F1EC6"/>
    <w:rsid w:val="004F34DB"/>
    <w:rsid w:val="004F3CF6"/>
    <w:rsid w:val="004F495E"/>
    <w:rsid w:val="004F5356"/>
    <w:rsid w:val="004F5C6E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12C3"/>
    <w:rsid w:val="00542F26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0730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30F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354A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80098"/>
    <w:rsid w:val="00681E2E"/>
    <w:rsid w:val="00682A12"/>
    <w:rsid w:val="0068346B"/>
    <w:rsid w:val="00684081"/>
    <w:rsid w:val="00685005"/>
    <w:rsid w:val="00685016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22D4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6387"/>
    <w:rsid w:val="00766C52"/>
    <w:rsid w:val="007670F1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5F0F"/>
    <w:rsid w:val="00796DBB"/>
    <w:rsid w:val="00796FC8"/>
    <w:rsid w:val="00797827"/>
    <w:rsid w:val="007A0102"/>
    <w:rsid w:val="007A1AB1"/>
    <w:rsid w:val="007A27AE"/>
    <w:rsid w:val="007A2EB7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D6870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73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51A8"/>
    <w:rsid w:val="008865CE"/>
    <w:rsid w:val="00886978"/>
    <w:rsid w:val="00886ACF"/>
    <w:rsid w:val="00890722"/>
    <w:rsid w:val="008923D1"/>
    <w:rsid w:val="00892DFD"/>
    <w:rsid w:val="00894035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0FA8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194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1B3B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3081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4A9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3D3F"/>
    <w:rsid w:val="00B745A9"/>
    <w:rsid w:val="00B75643"/>
    <w:rsid w:val="00B763B5"/>
    <w:rsid w:val="00B7776A"/>
    <w:rsid w:val="00B825E3"/>
    <w:rsid w:val="00B82C26"/>
    <w:rsid w:val="00B84D82"/>
    <w:rsid w:val="00B86938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4F2C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18B1"/>
    <w:rsid w:val="00BE25FE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022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5FA6"/>
    <w:rsid w:val="00C871E7"/>
    <w:rsid w:val="00C87329"/>
    <w:rsid w:val="00C90432"/>
    <w:rsid w:val="00C9151A"/>
    <w:rsid w:val="00C92037"/>
    <w:rsid w:val="00C92C9B"/>
    <w:rsid w:val="00C931CB"/>
    <w:rsid w:val="00C93A1E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E16"/>
    <w:rsid w:val="00CB69DF"/>
    <w:rsid w:val="00CB7D84"/>
    <w:rsid w:val="00CC01C5"/>
    <w:rsid w:val="00CC1599"/>
    <w:rsid w:val="00CC1689"/>
    <w:rsid w:val="00CC1A06"/>
    <w:rsid w:val="00CC1AC0"/>
    <w:rsid w:val="00CC1BFB"/>
    <w:rsid w:val="00CC2B3F"/>
    <w:rsid w:val="00CC33F5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7E4"/>
    <w:rsid w:val="00CF1336"/>
    <w:rsid w:val="00CF2735"/>
    <w:rsid w:val="00CF3010"/>
    <w:rsid w:val="00CF31BC"/>
    <w:rsid w:val="00CF3C7A"/>
    <w:rsid w:val="00CF40C7"/>
    <w:rsid w:val="00CF4A18"/>
    <w:rsid w:val="00CF4F60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793A"/>
    <w:rsid w:val="00DB0049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0BE2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2CC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43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  <w:style w:type="paragraph" w:customStyle="1" w:styleId="A04List">
    <w:name w:val="A04_List"/>
    <w:basedOn w:val="Normal"/>
    <w:qFormat/>
    <w:rsid w:val="008F7194"/>
    <w:pPr>
      <w:spacing w:after="28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1Headline1">
    <w:name w:val="A01_Headline 1"/>
    <w:basedOn w:val="Heading1"/>
    <w:qFormat/>
    <w:rsid w:val="00172DB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674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204</cp:revision>
  <cp:lastPrinted>2024-10-21T12:09:00Z</cp:lastPrinted>
  <dcterms:created xsi:type="dcterms:W3CDTF">2023-03-30T08:29:00Z</dcterms:created>
  <dcterms:modified xsi:type="dcterms:W3CDTF">2025-03-05T17:49:00Z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