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73E43A21" w:rsidR="008D5D38" w:rsidRPr="00487FB2" w:rsidRDefault="0041430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</w:t>
            </w:r>
            <w:r w:rsidR="00780DA4">
              <w:rPr>
                <w:sz w:val="21"/>
                <w:szCs w:val="23"/>
              </w:rPr>
              <w:t>l</w:t>
            </w:r>
            <w:r>
              <w:rPr>
                <w:sz w:val="21"/>
                <w:szCs w:val="23"/>
              </w:rPr>
              <w:t>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>Daniela Jorge – Tel: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p w14:paraId="1B42451D" w14:textId="000ADABD" w:rsidR="00AF7B9E" w:rsidRPr="00526AD2" w:rsidRDefault="00DF6908" w:rsidP="00AF7B9E">
      <w:pPr>
        <w:pStyle w:val="Heading1"/>
      </w:pPr>
      <w:bookmarkStart w:id="1" w:name="_Hlk171521299"/>
      <w:bookmarkEnd w:id="0"/>
      <w:r w:rsidRPr="00C54F42">
        <w:t xml:space="preserve">Os resultados do segundo trimestre do Grupo Mercedes-Benz realçam o sólido desempenho financeiro </w:t>
      </w:r>
    </w:p>
    <w:bookmarkEnd w:id="1"/>
    <w:p w14:paraId="4DC46884" w14:textId="65EC8052" w:rsidR="00FD5A90" w:rsidRPr="00C54F42" w:rsidRDefault="00FD5A90" w:rsidP="00FD5A90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 w:rsidRPr="00C54F42">
        <w:t xml:space="preserve">Desempenho: </w:t>
      </w:r>
      <w:r w:rsidRPr="00C54F42">
        <w:rPr>
          <w:rFonts w:ascii="MB Corpo S Text Office Light" w:hAnsi="MB Corpo S Text Office Light"/>
        </w:rPr>
        <w:t>o retorno de vendas ajustado da divisão Mercedes-Benz Cars no segundo trimestre atingiu os 10,2% e 17,5% na divisão Mercedes-Benz Vans; o retorno de capital ajustado na Mercedes-Benz Mobility atingiu os 8,4%. O EBIT no segundo trimestre do Grupo atingiu os 4 mil milhões de euros, 5% superior ao do primeiro trimestre de 2024.</w:t>
      </w:r>
    </w:p>
    <w:p w14:paraId="02EA7662" w14:textId="48ABDB5A" w:rsidR="00FD5A90" w:rsidRPr="00C54F42" w:rsidRDefault="00FD5A90" w:rsidP="00FD5A90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>
        <w:t>Fluxo</w:t>
      </w:r>
      <w:r w:rsidRPr="00C54F42">
        <w:t xml:space="preserve"> de caixa</w:t>
      </w:r>
      <w:r w:rsidRPr="00C54F42">
        <w:rPr>
          <w:rFonts w:ascii="MB Corpo S Text Office Light" w:hAnsi="MB Corpo S Text Office Light"/>
          <w:b/>
        </w:rPr>
        <w:t>:</w:t>
      </w:r>
      <w:r w:rsidRPr="00C54F42">
        <w:rPr>
          <w:rFonts w:ascii="MB Corpo S Text Office Light" w:hAnsi="MB Corpo S Text Office Light"/>
        </w:rPr>
        <w:t xml:space="preserve"> o Grupo Mercedes-Benz obteve um sólido fluxo de caixa livre da atividade industrial de 1,6 mil milhões de euros.</w:t>
      </w:r>
    </w:p>
    <w:p w14:paraId="77CC4CB0" w14:textId="77777777" w:rsidR="00FD5A90" w:rsidRPr="00C54F42" w:rsidRDefault="00FD5A90" w:rsidP="00FD5A90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 w:rsidRPr="00C54F42">
        <w:t xml:space="preserve">Transformação: </w:t>
      </w:r>
      <w:r w:rsidRPr="00C54F42">
        <w:rPr>
          <w:rFonts w:ascii="MB Corpo S Text Office Light" w:hAnsi="MB Corpo S Text Office Light"/>
        </w:rPr>
        <w:t xml:space="preserve">Capacidade de desenvolvimento de baterias reforçada com o novo centro de competências eCampus para tecnologias de baterias. Implementação da funcionalidade Mudança Automática de Faixa de Rodagem na Europa. </w:t>
      </w:r>
    </w:p>
    <w:p w14:paraId="73A6F9E4" w14:textId="77777777" w:rsidR="00FD5A90" w:rsidRPr="00C54F42" w:rsidRDefault="00FD5A90" w:rsidP="00FD5A90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 w:rsidRPr="00C54F42">
        <w:t xml:space="preserve">Atualização do programa de recompra de ações: </w:t>
      </w:r>
      <w:r w:rsidRPr="00C54F42">
        <w:rPr>
          <w:rFonts w:ascii="MB Corpo S Text Office Light" w:hAnsi="MB Corpo S Text Office Light"/>
        </w:rPr>
        <w:t>a geração sustentável de fluxo de caixa continuou e o volume de recompra de ações atingiu os 2,8 mil milhões de euros no segundo trimestre. Desde o início do programa, em março de 2023, a empresa recomprou ações no valor de 5,1 mil milhões de euros até à data de 30 de junho de 2024.</w:t>
      </w:r>
      <w:r w:rsidRPr="00C54F42">
        <w:t xml:space="preserve"> </w:t>
      </w:r>
    </w:p>
    <w:p w14:paraId="67CD9DA1" w14:textId="337038F1" w:rsidR="00FD5A90" w:rsidRPr="00C54F42" w:rsidRDefault="00FD5A90" w:rsidP="00FD5A90">
      <w:pPr>
        <w:pStyle w:val="02Flietextbold"/>
        <w:numPr>
          <w:ilvl w:val="0"/>
          <w:numId w:val="37"/>
        </w:numPr>
        <w:rPr>
          <w:rFonts w:ascii="MB Corpo S Text Office Light" w:eastAsia="MB Corpo S Text Office Light" w:hAnsi="MB Corpo S Text Office Light" w:cs="MB Corpo S Text Office Light"/>
        </w:rPr>
      </w:pPr>
      <w:r w:rsidRPr="00C54F42">
        <w:t xml:space="preserve">Perspetivas: </w:t>
      </w:r>
      <w:r w:rsidRPr="00C54F42">
        <w:rPr>
          <w:rFonts w:ascii="MB Corpo S Text Office Light" w:hAnsi="MB Corpo S Text Office Light"/>
        </w:rPr>
        <w:t xml:space="preserve">o retorno de vendas ajustado da divisão Mercedes-Benz Cars deverá situar-se entre 10 e 11%, o retorno de vendas ajustado da divisão Mercedes-Benz Vans entre 14 e 15% enquanto o retorno de capital próprio ajustado da Mercedes-Benz Mobility está previsto ficar entre 8,5 e 9,5%. A previsão de receitas, EBIT e fluxo de caixa livre do Grupo da atividade industrial permanece inalterada. </w:t>
      </w:r>
    </w:p>
    <w:p w14:paraId="0E693DD3" w14:textId="77777777" w:rsidR="0055164A" w:rsidRPr="00363F23" w:rsidRDefault="0055164A" w:rsidP="0055164A">
      <w:pPr>
        <w:pStyle w:val="02Flietextbold"/>
        <w:ind w:left="720"/>
      </w:pPr>
    </w:p>
    <w:p w14:paraId="3E2F8DD8" w14:textId="6C8F684B" w:rsidR="00140967" w:rsidRDefault="00140967" w:rsidP="00140967">
      <w:pPr>
        <w:rPr>
          <w:color w:val="333333"/>
        </w:rPr>
      </w:pPr>
      <w:r w:rsidRPr="00C54F42">
        <w:rPr>
          <w:color w:val="333333"/>
        </w:rPr>
        <w:t xml:space="preserve">O Mercedes-Benz Group AG (símbolo: MBG) alcançou sólidos resultados no segundo trimestre com Resultados Antes de Juros e Impostos do Grupo de 4 mil milhões de euros (2T 2023: 5 mil milhões), apoiado pela eficiência operacional e concentração em vendas saudáveis de veículos ligeiros de passageiros e comerciais ligeiros num ambiente difícil. O retorno de vendas ajustado na divisão Mercedes-Benz Cars </w:t>
      </w:r>
      <w:r w:rsidR="00D648B8">
        <w:rPr>
          <w:color w:val="333333"/>
        </w:rPr>
        <w:t xml:space="preserve">alcançou </w:t>
      </w:r>
      <w:r w:rsidRPr="00C54F42">
        <w:rPr>
          <w:color w:val="333333"/>
        </w:rPr>
        <w:t>os 10,2% (2T 2023: 13,5 %) e 17,5% (2T 2023: 15,5 %) na divisão Mercedes-Benz Vans. As receitas do Grupo atingiram os 36,7 mil milhões de euros (2T 2023: 38,2 mil milhões) no trimestre.</w:t>
      </w:r>
    </w:p>
    <w:p w14:paraId="09CBF109" w14:textId="77777777" w:rsidR="00140967" w:rsidRDefault="00140967" w:rsidP="00140967">
      <w:pPr>
        <w:rPr>
          <w:color w:val="333333"/>
        </w:rPr>
      </w:pPr>
    </w:p>
    <w:p w14:paraId="2B2AAF35" w14:textId="77777777" w:rsidR="00140967" w:rsidRDefault="00140967" w:rsidP="00140967">
      <w:pPr>
        <w:rPr>
          <w:color w:val="333333"/>
        </w:rPr>
      </w:pPr>
    </w:p>
    <w:p w14:paraId="7E49007B" w14:textId="77777777" w:rsidR="00140967" w:rsidRDefault="00140967" w:rsidP="00140967">
      <w:pPr>
        <w:rPr>
          <w:color w:val="333333"/>
        </w:rPr>
      </w:pPr>
    </w:p>
    <w:p w14:paraId="29E60751" w14:textId="77777777" w:rsidR="00140967" w:rsidRDefault="00140967" w:rsidP="00140967">
      <w:pPr>
        <w:rPr>
          <w:color w:val="333333"/>
        </w:rPr>
      </w:pPr>
    </w:p>
    <w:p w14:paraId="195D1771" w14:textId="77777777" w:rsidR="00140967" w:rsidRDefault="00140967" w:rsidP="00140967">
      <w:pPr>
        <w:rPr>
          <w:color w:val="333333"/>
        </w:rPr>
      </w:pPr>
    </w:p>
    <w:p w14:paraId="27174052" w14:textId="77777777" w:rsidR="00140967" w:rsidRPr="00C54F42" w:rsidRDefault="00140967" w:rsidP="00140967">
      <w:pPr>
        <w:rPr>
          <w:color w:val="333333"/>
        </w:rPr>
      </w:pPr>
    </w:p>
    <w:p w14:paraId="41615BCE" w14:textId="77777777" w:rsidR="00140967" w:rsidRPr="00C54F42" w:rsidRDefault="00140967" w:rsidP="00140967">
      <w:pPr>
        <w:rPr>
          <w:sz w:val="20"/>
          <w:szCs w:val="20"/>
        </w:rPr>
      </w:pPr>
    </w:p>
    <w:tbl>
      <w:tblPr>
        <w:tblW w:w="10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0"/>
      </w:tblGrid>
      <w:tr w:rsidR="00140967" w:rsidRPr="00C54F42" w14:paraId="721EC771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BA7D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lastRenderedPageBreak/>
              <w:t>Mercedes-Benz Group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FE2049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93FF4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264C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D4DCFE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102EDCA3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D3086B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6AF6DB58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9D28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</w:tr>
      <w:tr w:rsidR="00140967" w:rsidRPr="00C54F42" w14:paraId="32636353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37EF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Receitas*</w:t>
            </w:r>
            <w:r w:rsidRPr="00C54F42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854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36,743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744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38,241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709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-3,9 %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F06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72,616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64F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75,757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BADB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-4,1 %</w:t>
            </w:r>
          </w:p>
        </w:tc>
      </w:tr>
      <w:tr w:rsidR="00140967" w:rsidRPr="00C54F42" w14:paraId="1D156345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42F1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(EBIT)*</w:t>
            </w:r>
            <w:r w:rsidRPr="00C54F42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DE9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4,037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DB7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4,988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D15D5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color w:val="000000" w:themeColor="text1"/>
                <w:sz w:val="16"/>
              </w:rPr>
              <w:t>-19,1 %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B7B20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color w:val="000000" w:themeColor="text1"/>
                <w:sz w:val="16"/>
              </w:rPr>
              <w:t>7,900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3FEF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10,492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8E56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color w:val="000000" w:themeColor="text1"/>
                <w:sz w:val="16"/>
              </w:rPr>
              <w:t>-24,7 %</w:t>
            </w:r>
          </w:p>
        </w:tc>
      </w:tr>
      <w:tr w:rsidR="00140967" w:rsidRPr="00C54F42" w14:paraId="6B92B7C6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0271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Lucro/prejuízo líquido*</w:t>
            </w:r>
            <w:r w:rsidRPr="00C54F42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0819D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3,062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58B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3,641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9DBF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-15,9 %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969B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color w:val="000000" w:themeColor="text1"/>
                <w:sz w:val="16"/>
              </w:rPr>
              <w:t>6,087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99A4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7,652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008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-20,5 %</w:t>
            </w:r>
          </w:p>
        </w:tc>
      </w:tr>
      <w:tr w:rsidR="00140967" w:rsidRPr="00C54F42" w14:paraId="246855F2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1A9E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Fluxo de caixa livre (atividade industrial)*</w:t>
            </w:r>
            <w:r w:rsidRPr="00C54F42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0AA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1,629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4CE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3,363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1D4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-51,6 %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DDAB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3,862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D25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5,527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CF824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-30,1 %</w:t>
            </w:r>
          </w:p>
        </w:tc>
      </w:tr>
      <w:tr w:rsidR="00140967" w:rsidRPr="00C54F42" w14:paraId="4CFB0AD8" w14:textId="77777777" w:rsidTr="003D7AC6">
        <w:trPr>
          <w:trHeight w:val="30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E8B9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por ação em EUR</w:t>
            </w:r>
            <w:r w:rsidRPr="00C54F42">
              <w:rPr>
                <w:sz w:val="16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E9C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2,95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F738F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E1C1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-11,7 %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9AC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5,81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B33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0BAF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color w:val="000000" w:themeColor="text1"/>
                <w:sz w:val="16"/>
              </w:rPr>
              <w:t>-17,4 %</w:t>
            </w:r>
          </w:p>
        </w:tc>
      </w:tr>
    </w:tbl>
    <w:p w14:paraId="55DBEB3E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C54F42">
        <w:rPr>
          <w:color w:val="000000" w:themeColor="text1"/>
          <w:sz w:val="16"/>
        </w:rPr>
        <w:t>* em milhões de euros</w:t>
      </w:r>
    </w:p>
    <w:p w14:paraId="70DC7D24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</w:p>
    <w:p w14:paraId="55B9C331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  <w:r w:rsidRPr="00C54F42">
        <w:rPr>
          <w:rFonts w:ascii="MB Corpo S Text Office" w:hAnsi="MB Corpo S Text Office"/>
        </w:rPr>
        <w:t>Investimentos, fluxo de caixa livre e liquidez</w:t>
      </w:r>
    </w:p>
    <w:p w14:paraId="5282050B" w14:textId="7AC1BF05" w:rsidR="00140967" w:rsidRPr="00C54F42" w:rsidRDefault="00140967" w:rsidP="00140967">
      <w:r w:rsidRPr="00C54F42">
        <w:t xml:space="preserve">O fluxo de caixa livre da atividade industrial no segundo trimestre atingiu os 1,6 mil milhões de euros (2T 2023: 3,4 mil milhões de euros) devido à sólida taxa de conversão de caixa em veículos ligeiros de passageiros e comerciais ligeiros. Isto foi influenciado por um menor resultado antes de juros e impostos e condições desfavoráveis ao desenvolvimento de fundo de maneio devido aos níveis mais altos de inventário antes das vendas esperadas no segundo semestre. A liquidez líquida da atividade industrial atingiu os 28 mil milhões de euros (final de 2023: 31,7 mil milhões de euros) devido ao pagamento de dividendos de 5,5 mil milhões de euros e saídas de caixa para recompra de ações de aproximadamente 2,8 mil milhões de euros no segundo trimestre. Desde o início do programa de recompra, em março de 2023, a empresa recomprou ações no valor de 5,1 mil milhões de euros até à data de 30 de junho de 2024. Os investimentos do grupo em propriedades, fábricas e equipamentos no segundo trimestre ascenderam a 0,9 mil milhões de euros (2T 2023: 0,8 mil milhões de euros). Os gastos em investigação e desenvolvimento diminuíram para 2,3 mil milhões de euros (2T 2023: 2,4 mil milhões de euros). </w:t>
      </w:r>
    </w:p>
    <w:p w14:paraId="61085375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</w:p>
    <w:p w14:paraId="17768EE4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  <w:r w:rsidRPr="00C54F42">
        <w:rPr>
          <w:rFonts w:ascii="MB Corpo S Text Office" w:hAnsi="MB Corpo S Text Office"/>
        </w:rPr>
        <w:t>Resultados por divisão</w:t>
      </w:r>
    </w:p>
    <w:p w14:paraId="24702470" w14:textId="072D2506" w:rsidR="00140967" w:rsidRPr="00C54F42" w:rsidRDefault="00140967" w:rsidP="00140967">
      <w:r w:rsidRPr="00C54F42">
        <w:t>O lucro ajustado antes de juros e impostos da divisão Mercedes-Benz Cars atingiu os 2,8 mil milhões de euros (2T 2023: 3,8 mil milhões de euros) com volumes de vendas mais baixos, mas resultou num retorno de vendas ajustado de 10,2%, acima dos 9,0% no primeiro trimestre (2T 2023: 13,5%), devido à concentração na qualidade das vendas num ambiente difícil e devido aos custos de materiais favoráveis. As vendas unitárias da divisão Mercedes-Benz Cars atingiram as 496</w:t>
      </w:r>
      <w:r w:rsidR="009E1550">
        <w:t>.</w:t>
      </w:r>
      <w:r w:rsidRPr="00C54F42">
        <w:t xml:space="preserve">712 unidades no segundo trimestre, um aumento de 7% em comparação com o primeiro trimestre devido à </w:t>
      </w:r>
      <w:r w:rsidR="009E1550">
        <w:t>maior</w:t>
      </w:r>
      <w:r w:rsidRPr="00C54F42">
        <w:t xml:space="preserve"> disponibilidade de produtos na China e nos Estados Unidos. As vendas do segmento de luxo superior no segundo trimestre aumentaram 6% em comparação com o primeiro trimestre, mas permanecem abaixo dos níveis do ano anterior, principalmente devido às mudanças de modelo e a um ambiente de mercado moderado na Ásia. </w:t>
      </w:r>
      <w:r w:rsidRPr="00C54F42">
        <w:rPr>
          <w:color w:val="000000" w:themeColor="text1"/>
        </w:rPr>
        <w:t>A disponibilidade dos modelos topo de gama continuou a melhorar com o lançamento do novo Classe G elétrico</w:t>
      </w:r>
      <w:r w:rsidRPr="00C54F42">
        <w:rPr>
          <w:color w:val="000000" w:themeColor="text1"/>
          <w:sz w:val="16"/>
          <w:vertAlign w:val="superscript"/>
        </w:rPr>
        <w:t>1</w:t>
      </w:r>
      <w:r w:rsidRPr="00C54F42">
        <w:rPr>
          <w:color w:val="000000" w:themeColor="text1"/>
        </w:rPr>
        <w:t>. As vendas dos modelos AMG CLE</w:t>
      </w:r>
      <w:r w:rsidR="009E1550">
        <w:rPr>
          <w:color w:val="000000" w:themeColor="text1"/>
        </w:rPr>
        <w:t xml:space="preserve"> </w:t>
      </w:r>
      <w:r w:rsidRPr="00C54F42">
        <w:rPr>
          <w:color w:val="000000" w:themeColor="text1"/>
        </w:rPr>
        <w:t>53, AMG E</w:t>
      </w:r>
      <w:r w:rsidR="009E1550">
        <w:rPr>
          <w:color w:val="000000" w:themeColor="text1"/>
        </w:rPr>
        <w:t xml:space="preserve"> </w:t>
      </w:r>
      <w:r w:rsidRPr="00C54F42">
        <w:rPr>
          <w:color w:val="000000" w:themeColor="text1"/>
        </w:rPr>
        <w:t>53 e AMG GLC</w:t>
      </w:r>
      <w:r w:rsidR="009E1550">
        <w:rPr>
          <w:color w:val="000000" w:themeColor="text1"/>
        </w:rPr>
        <w:t xml:space="preserve"> </w:t>
      </w:r>
      <w:r w:rsidRPr="00C54F42">
        <w:rPr>
          <w:color w:val="000000" w:themeColor="text1"/>
        </w:rPr>
        <w:t>43 tiveram início no segundo trimestre. Adicionalmente</w:t>
      </w:r>
      <w:r w:rsidRPr="00C54F42">
        <w:t xml:space="preserve">, o Mercedes-Benz Classe S continua a ser o líder indiscutível do seu segmento em todos os principais mercados. As vendas no segmento </w:t>
      </w:r>
      <w:r w:rsidR="0070655E" w:rsidRPr="0070655E">
        <w:rPr>
          <w:i/>
          <w:iCs/>
        </w:rPr>
        <w:t>core</w:t>
      </w:r>
      <w:r w:rsidR="0070655E">
        <w:t xml:space="preserve"> </w:t>
      </w:r>
      <w:r w:rsidRPr="00C54F42">
        <w:t>aumentaram 8% no segundo trimestre em comparação com o trimestre anterior, impulsionadas principalmente pelo Classe E e GLC, que manteve o seu estatuto de modelo mais vendido.</w:t>
      </w:r>
    </w:p>
    <w:p w14:paraId="564EF6E0" w14:textId="77777777" w:rsidR="00140967" w:rsidRPr="00C54F42" w:rsidRDefault="00140967" w:rsidP="00140967">
      <w:pPr>
        <w:rPr>
          <w:rFonts w:ascii="Arial" w:eastAsia="Arial" w:hAnsi="Arial" w:cs="Arial"/>
          <w:color w:val="000000" w:themeColor="text1"/>
          <w:szCs w:val="21"/>
        </w:rPr>
      </w:pPr>
      <w:r w:rsidRPr="00C54F42">
        <w:t xml:space="preserve"> </w:t>
      </w:r>
    </w:p>
    <w:tbl>
      <w:tblPr>
        <w:tblW w:w="10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0"/>
        <w:gridCol w:w="968"/>
        <w:gridCol w:w="964"/>
      </w:tblGrid>
      <w:tr w:rsidR="00140967" w:rsidRPr="00C54F42" w14:paraId="4E8BF6BE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D953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Veículos Ligeiros Mercedes-Benz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DB18D8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55128D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7D45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9395EF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25EBD1CF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DCBFD3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49B7E262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B68C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</w:tr>
      <w:tr w:rsidR="00140967" w:rsidRPr="00C54F42" w14:paraId="19A8E815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C7B7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Vendas unitárias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9884" w14:textId="25882F4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496</w:t>
            </w:r>
            <w:r w:rsidR="0070655E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6BC0B" w14:textId="76842F3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515</w:t>
            </w:r>
            <w:r w:rsidR="00A9266A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E5C2" w14:textId="066FD69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-3,7%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35AC" w14:textId="2B2A0D0E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959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690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B411" w14:textId="619F6FCE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019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229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ECCF0" w14:textId="67D195C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-5,8%</w:t>
            </w:r>
          </w:p>
        </w:tc>
      </w:tr>
      <w:tr w:rsidR="00140967" w:rsidRPr="00C54F42" w14:paraId="5A27C226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3FBF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de veículos xEV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8596" w14:textId="243A682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89</w:t>
            </w:r>
            <w:r w:rsidR="0070655E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963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A76E" w14:textId="4523B56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95</w:t>
            </w:r>
            <w:r w:rsidR="00A9266A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910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FBEF" w14:textId="0B89364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B28D" w14:textId="47EE4E6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180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140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DA3EF" w14:textId="24C16EC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187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608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0A6C" w14:textId="6E6C4038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-4,0%</w:t>
            </w:r>
          </w:p>
        </w:tc>
      </w:tr>
      <w:tr w:rsidR="00140967" w:rsidRPr="00C54F42" w14:paraId="33012D4F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21BE" w14:textId="69F2107F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 xml:space="preserve">de veículos elétricos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B4C1E" w14:textId="755F792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45</w:t>
            </w:r>
            <w:r w:rsidR="0070655E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843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E96C" w14:textId="71FE4AB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61</w:t>
            </w:r>
            <w:r w:rsidR="00A9266A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211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EBBDC" w14:textId="29F320B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-25,1%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C8DB" w14:textId="1C21B71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93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364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B3C8B" w14:textId="09B4551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112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850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892C" w14:textId="49E89C6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-17,3%</w:t>
            </w:r>
          </w:p>
        </w:tc>
      </w:tr>
      <w:tr w:rsidR="00140967" w:rsidRPr="00C54F42" w14:paraId="0E5546CD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FEBF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Quota de xEV nas vendas unitárias em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D76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18,1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5BF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18,6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1E1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7939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sz w:val="16"/>
              </w:rPr>
              <w:t>18,8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07F3C" w14:textId="77777777" w:rsidR="00140967" w:rsidRPr="00C54F42" w:rsidRDefault="00140967" w:rsidP="003D7AC6">
            <w:pPr>
              <w:spacing w:line="240" w:lineRule="auto"/>
              <w:jc w:val="right"/>
            </w:pPr>
            <w:r w:rsidRPr="00C54F42">
              <w:rPr>
                <w:sz w:val="16"/>
              </w:rPr>
              <w:t>18,4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E007B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</w:t>
            </w:r>
          </w:p>
        </w:tc>
      </w:tr>
      <w:tr w:rsidR="00140967" w:rsidRPr="00C54F42" w14:paraId="7C8D4E15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153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Receitas*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E899" w14:textId="66C3787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27</w:t>
            </w:r>
            <w:r w:rsidR="0070655E">
              <w:rPr>
                <w:sz w:val="16"/>
              </w:rPr>
              <w:t>.</w:t>
            </w:r>
            <w:r w:rsidRPr="00C54F42">
              <w:rPr>
                <w:sz w:val="16"/>
              </w:rPr>
              <w:t>170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21B5" w14:textId="5B0306B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28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244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D459" w14:textId="6F3A38A2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51FE" w14:textId="122F392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52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883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65CC" w14:textId="0E569B8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56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056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2BEF" w14:textId="7BC40EC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-5,7%</w:t>
            </w:r>
          </w:p>
        </w:tc>
      </w:tr>
      <w:tr w:rsidR="00140967" w:rsidRPr="00C54F42" w14:paraId="43A53E91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68CC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4CFA" w14:textId="12FB5D5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756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D7C2" w14:textId="2F4B176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3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852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E527" w14:textId="279B953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-28,5%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BB12" w14:textId="5194CB6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5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212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7A54" w14:textId="0CEB86D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8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5CBB8" w14:textId="2B77C47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-34,9%</w:t>
            </w:r>
          </w:p>
        </w:tc>
      </w:tr>
      <w:tr w:rsidR="00140967" w:rsidRPr="00C54F42" w14:paraId="32101A89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09A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 ajustados*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548B8" w14:textId="4257C1E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763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3C11E" w14:textId="55873AE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3</w:t>
            </w:r>
            <w:r w:rsidR="00A9266A">
              <w:rPr>
                <w:sz w:val="16"/>
              </w:rPr>
              <w:t>.</w:t>
            </w:r>
            <w:r w:rsidRPr="00C54F42">
              <w:rPr>
                <w:sz w:val="16"/>
              </w:rPr>
              <w:t>812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4628F" w14:textId="16B91EB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-27,5%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C671" w14:textId="6D98DE7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5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086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A342" w14:textId="1EEFCE5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7</w:t>
            </w:r>
            <w:r w:rsidR="001B2AD8">
              <w:rPr>
                <w:sz w:val="16"/>
              </w:rPr>
              <w:t>.</w:t>
            </w:r>
            <w:r w:rsidRPr="00C54F42">
              <w:rPr>
                <w:sz w:val="16"/>
              </w:rPr>
              <w:t>925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5FC6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-35,8%</w:t>
            </w:r>
          </w:p>
        </w:tc>
      </w:tr>
      <w:tr w:rsidR="00140967" w:rsidRPr="00C54F42" w14:paraId="0CB9D0FF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D8EE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vendas em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F02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10,1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3C99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13,6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7C0C" w14:textId="56DB953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+1,4%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A74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9,9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731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14,3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B9E1" w14:textId="2CB8802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-4.4%</w:t>
            </w:r>
          </w:p>
        </w:tc>
      </w:tr>
      <w:tr w:rsidR="00140967" w:rsidRPr="00C54F42" w14:paraId="747766FC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7B9C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vendas ajustado em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9F99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10,2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1C74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28A38" w14:textId="40F73C5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7EC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9,6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87FB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14,1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8850" w14:textId="3D19A5E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-4,5%</w:t>
            </w:r>
          </w:p>
        </w:tc>
      </w:tr>
      <w:tr w:rsidR="00140967" w:rsidRPr="00C54F42" w14:paraId="1CC3938B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D08D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lastRenderedPageBreak/>
              <w:t>Fluxo de caixa livre antes de juros e impostos (CFBIT)*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8691" w14:textId="4CFCC6A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</w:t>
            </w:r>
            <w:r w:rsidR="00471AFC">
              <w:rPr>
                <w:sz w:val="16"/>
              </w:rPr>
              <w:t>.</w:t>
            </w:r>
            <w:r w:rsidRPr="00C54F42">
              <w:rPr>
                <w:sz w:val="16"/>
              </w:rPr>
              <w:t>156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3E3F" w14:textId="386994E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3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769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BAF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-42,8 %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A6C0" w14:textId="14E9D55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4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453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CCA0" w14:textId="41FE113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6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750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C46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-34,0 %</w:t>
            </w:r>
          </w:p>
        </w:tc>
      </w:tr>
      <w:tr w:rsidR="00140967" w:rsidRPr="00C54F42" w14:paraId="677CC94D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00CB9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 xml:space="preserve">Fluxo de caixa livre antes de juros e impostos (CFBIT) ajustado*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4C4CA" w14:textId="5FF0B81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2</w:t>
            </w:r>
            <w:r w:rsidR="00471AFC">
              <w:rPr>
                <w:sz w:val="16"/>
              </w:rPr>
              <w:t>.</w:t>
            </w:r>
            <w:r w:rsidRPr="00C54F42">
              <w:rPr>
                <w:sz w:val="16"/>
              </w:rPr>
              <w:t>192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39F9" w14:textId="5E3F012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3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842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CEF5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-42,9 %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947A" w14:textId="2FA6C63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4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533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CF62" w14:textId="0B85E6A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6</w:t>
            </w:r>
            <w:r w:rsidR="001B530E">
              <w:rPr>
                <w:sz w:val="16"/>
              </w:rPr>
              <w:t>.</w:t>
            </w:r>
            <w:r w:rsidRPr="00C54F42">
              <w:rPr>
                <w:sz w:val="16"/>
              </w:rPr>
              <w:t>862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ABE2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-33,9 %</w:t>
            </w:r>
          </w:p>
        </w:tc>
      </w:tr>
      <w:tr w:rsidR="00140967" w:rsidRPr="00C54F42" w14:paraId="0034E9BB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384C3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Taxa de conversão de caixa ajustada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F4F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B16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A37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81CF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0,9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BED52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C487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sz w:val="16"/>
                <w:szCs w:val="16"/>
              </w:rPr>
            </w:pPr>
            <w:r w:rsidRPr="00C54F42">
              <w:rPr>
                <w:sz w:val="16"/>
              </w:rPr>
              <w:t>-</w:t>
            </w:r>
          </w:p>
        </w:tc>
      </w:tr>
    </w:tbl>
    <w:p w14:paraId="08F75F03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C54F42">
        <w:rPr>
          <w:color w:val="000000" w:themeColor="text1"/>
          <w:sz w:val="16"/>
        </w:rPr>
        <w:t>* em milhões de euros</w:t>
      </w:r>
    </w:p>
    <w:p w14:paraId="1504B2C9" w14:textId="77777777" w:rsidR="00140967" w:rsidRPr="00C54F42" w:rsidRDefault="00140967" w:rsidP="00140967">
      <w:pPr>
        <w:pStyle w:val="01Copytext"/>
      </w:pPr>
    </w:p>
    <w:p w14:paraId="704B8FD1" w14:textId="37F47CED" w:rsidR="00140967" w:rsidRPr="00C54F42" w:rsidRDefault="00140967" w:rsidP="00140967">
      <w:pPr>
        <w:pStyle w:val="01Copytext"/>
      </w:pPr>
      <w:r w:rsidRPr="00C54F42">
        <w:t xml:space="preserve">O retorno de vendas ajustado na </w:t>
      </w:r>
      <w:r w:rsidRPr="00C54F42">
        <w:rPr>
          <w:rFonts w:ascii="MB Corpo S Text Office" w:hAnsi="MB Corpo S Text Office"/>
        </w:rPr>
        <w:t>divisão Mercedes-Benz Vans</w:t>
      </w:r>
      <w:r w:rsidRPr="00C54F42">
        <w:t xml:space="preserve"> subiu para 17,5% (2T 2023: 15,5%). As vendas unitárias inferiores foram compensadas pelos preços líquidos saudáveis e por uma estrutura de preços favorável, bem como por custos de materiais favoráveis e efeitos cambiais positivos. O Resultado Antes de Juros e Impostos aumentou 5% para 834 milhões de euros (2T 2023: 792 milhões de euros). As vendas globais da divisão Mercedes-Benz Vans atingiram as 103</w:t>
      </w:r>
      <w:r w:rsidR="001B530E">
        <w:t>.</w:t>
      </w:r>
      <w:r w:rsidRPr="00C54F42">
        <w:t>435 unidades no</w:t>
      </w:r>
      <w:r w:rsidRPr="00C54F42">
        <w:rPr>
          <w:rFonts w:asciiTheme="minorHAnsi" w:eastAsiaTheme="minorEastAsia" w:hAnsiTheme="minorHAnsi"/>
        </w:rPr>
        <w:t xml:space="preserve"> </w:t>
      </w:r>
      <w:r w:rsidRPr="00C54F42">
        <w:t>segundo trimestre, mantendo as vendas ao mesmo nível do primeiro trimestre (-2% em comparação com o primeiro trimestre). Assim, a divisão alcançou um forte primeiro semestre em 2024, com o segundo trimestre influenciado por mudanças de modelo tanto no segmento privado como no segmento empresarial de furgões médios e grandes e um aumento gradual do eSprinter.</w:t>
      </w:r>
    </w:p>
    <w:p w14:paraId="1DD92878" w14:textId="77777777" w:rsidR="00140967" w:rsidRPr="00C54F42" w:rsidRDefault="00140967" w:rsidP="00140967">
      <w:pPr>
        <w:pStyle w:val="01Copytext"/>
      </w:pPr>
    </w:p>
    <w:p w14:paraId="27842686" w14:textId="77777777" w:rsidR="00140967" w:rsidRPr="00C54F42" w:rsidRDefault="00140967" w:rsidP="00140967">
      <w:pPr>
        <w:pStyle w:val="01Copytext"/>
      </w:pPr>
    </w:p>
    <w:tbl>
      <w:tblPr>
        <w:tblW w:w="101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4"/>
      </w:tblGrid>
      <w:tr w:rsidR="00140967" w:rsidRPr="00C54F42" w14:paraId="35F31B25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B34E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Mercedes-Benz Vans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D97BE5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72E1BF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4943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63FE4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3D0E02A4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82E3C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4C6299C6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222EF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</w:tr>
      <w:tr w:rsidR="00140967" w:rsidRPr="00C54F42" w14:paraId="74DCDB59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18B5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Vendas unitárias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AF6C" w14:textId="540ED0F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103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435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389A4" w14:textId="5996EC9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119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505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3664" w14:textId="45AF5EF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-13,4%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5DAF" w14:textId="4EE39E7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208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860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0E17" w14:textId="48A2761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218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390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6A96" w14:textId="6F5381D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-4,4%</w:t>
            </w:r>
          </w:p>
        </w:tc>
      </w:tr>
      <w:tr w:rsidR="00140967" w:rsidRPr="00C54F42" w14:paraId="4846E024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E3E3" w14:textId="3969587B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 xml:space="preserve">de veículos elétricos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4D5D" w14:textId="5773472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209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B0B8" w14:textId="0DFF8A2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054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44B4" w14:textId="73DAC51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+3,1%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A0A1" w14:textId="0D43609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189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286A" w14:textId="1B98EBB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624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841F3" w14:textId="71A9F09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-5,0%</w:t>
            </w:r>
          </w:p>
        </w:tc>
      </w:tr>
      <w:tr w:rsidR="00140967" w:rsidRPr="00C54F42" w14:paraId="5945FCFE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AF40" w14:textId="19742BFF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Quota de veículos elétricos nas vendas unitárias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12D9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FE8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3A64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FFFF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A22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1ED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</w:tr>
      <w:tr w:rsidR="00140967" w:rsidRPr="00C54F42" w14:paraId="1D6E8E2A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8E03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Receitas*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FEF3" w14:textId="562E2C98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A5D8" w14:textId="65CEB2D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123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B02B9" w14:textId="2AC77592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-6,8%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2FF9" w14:textId="0DBD53C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9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667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4936" w14:textId="49269F5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9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738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69B8" w14:textId="1F80EEF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-0,7%</w:t>
            </w:r>
          </w:p>
        </w:tc>
      </w:tr>
      <w:tr w:rsidR="00140967" w:rsidRPr="00C54F42" w14:paraId="2336028F" w14:textId="77777777" w:rsidTr="003D7AC6">
        <w:trPr>
          <w:trHeight w:val="30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9E53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B16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127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1D4D" w14:textId="40F62BB2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+3,0%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EF5B" w14:textId="6625A43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274D6" w14:textId="3F9C3DC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568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1C77" w14:textId="305D10B1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+12,4%</w:t>
            </w:r>
          </w:p>
        </w:tc>
      </w:tr>
      <w:tr w:rsidR="00140967" w:rsidRPr="00C54F42" w14:paraId="185F2420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EF34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 ajustados*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9422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819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6242" w14:textId="3EF71458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+5,3%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671B" w14:textId="67D9A2E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634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22436" w14:textId="1A70C65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511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42EAB" w14:textId="7D56134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+8,1%</w:t>
            </w:r>
          </w:p>
        </w:tc>
      </w:tr>
      <w:tr w:rsidR="00140967" w:rsidRPr="00C54F42" w14:paraId="7F8FAA13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967A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vendas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784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17,4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9DB5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15,7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843C" w14:textId="27D4552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+1,7%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B88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18,2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FEDD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16,1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4CBC" w14:textId="6A2EF88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+2,1%</w:t>
            </w:r>
          </w:p>
        </w:tc>
      </w:tr>
      <w:tr w:rsidR="00140967" w:rsidRPr="00C54F42" w14:paraId="09CF768C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9CAE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vendas ajustado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89C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17,5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F3C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15,5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CEF62" w14:textId="17D3833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+2,0%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8777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16,9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DE09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15,5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E12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+1.4%</w:t>
            </w:r>
          </w:p>
        </w:tc>
      </w:tr>
      <w:tr w:rsidR="00140967" w:rsidRPr="00C54F42" w14:paraId="0291EE11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9E3D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Fluxo de caixa livre antes de juros e impostos (CFBIT)*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9201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165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777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5E99D" w14:textId="285D00B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-23,9%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F5FE" w14:textId="16734BD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234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CF76" w14:textId="5FB5DA7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187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D8EF" w14:textId="2701AD5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+4,0%</w:t>
            </w:r>
          </w:p>
        </w:tc>
      </w:tr>
      <w:tr w:rsidR="00140967" w:rsidRPr="00C54F42" w14:paraId="6E79614C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03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Fluxo de caixa livre antes de juros e impostos (CFBIT) ajustado* 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8E71C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624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6E19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E4BF" w14:textId="12F02C8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-23,8%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C687F" w14:textId="0015285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312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CCBF" w14:textId="27EDF818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</w:t>
            </w:r>
            <w:r w:rsidR="00425627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269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718F" w14:textId="06628E1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+3,4%</w:t>
            </w:r>
          </w:p>
        </w:tc>
      </w:tr>
      <w:tr w:rsidR="00140967" w:rsidRPr="00C54F42" w14:paraId="17CC2FDC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575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Taxa de conversão de caixa ajustada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554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2E54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B62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C197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CA122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0,8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890A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</w:t>
            </w:r>
          </w:p>
        </w:tc>
      </w:tr>
    </w:tbl>
    <w:p w14:paraId="0F54BBA1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C54F42">
        <w:rPr>
          <w:color w:val="000000" w:themeColor="text1"/>
          <w:sz w:val="16"/>
        </w:rPr>
        <w:t>* em milhões de euros</w:t>
      </w:r>
    </w:p>
    <w:p w14:paraId="40AEC583" w14:textId="77777777" w:rsidR="00140967" w:rsidRPr="00C54F42" w:rsidRDefault="00140967" w:rsidP="00140967">
      <w:pPr>
        <w:rPr>
          <w:i/>
          <w:iCs/>
        </w:rPr>
      </w:pPr>
    </w:p>
    <w:p w14:paraId="0BDC0B02" w14:textId="4AD8AFDE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O portfólio da </w:t>
      </w:r>
      <w:r w:rsidRPr="00C54F42">
        <w:rPr>
          <w:rFonts w:ascii="MB Corpo S Text Office" w:hAnsi="MB Corpo S Text Office"/>
        </w:rPr>
        <w:t>Mercedes-Benz Mobility</w:t>
      </w:r>
      <w:r w:rsidRPr="00C54F42">
        <w:t xml:space="preserve"> apresenta uma percentagem crescente de veículos xEV (veículos elétricos e veículos híbridos plug-in) no segundo trimestre de 2024. Como resultado, mais de um em cada dois veículos é agora alugado ou financiado pela Mercedes-Benz Mobility. No geral, o portfólio total ascendia a 135,7 mil milhões de euros no final de junho de 2024, </w:t>
      </w:r>
      <w:r w:rsidR="0032563A" w:rsidRPr="00C54F42">
        <w:t>estando, portanto,</w:t>
      </w:r>
      <w:r w:rsidRPr="00C54F42">
        <w:t xml:space="preserve"> ao mesmo nível do final do ano de 2023 (2023: 135,0 mil milhões de euros). Com 14,8 mil milhões de euros, os novos contratos da Mercedes-Benz Mobility ficaram abaixo do nível do ano transato (2T 2023: 15,4 mil milhões de euros). O Resultado Antes de Juros e Impostos diminuiu para 271 milhões de euros, principalmente devido a uma margem de juros mais baixa e a um custo mais elevado do risco de crédito (2T 2023: 448 milhões de euros). Como resultado, o retorno de capital ajustado diminuiu para 8,4% (2T 2023: 12,8%).</w:t>
      </w:r>
    </w:p>
    <w:p w14:paraId="139F0C18" w14:textId="77777777" w:rsidR="00140967" w:rsidRPr="00C54F42" w:rsidRDefault="00140967" w:rsidP="00140967">
      <w:pPr>
        <w:rPr>
          <w:rFonts w:eastAsia="MB Corpo S Text Office Light" w:cs="MB Corpo S Text Office Light"/>
        </w:rPr>
      </w:pPr>
    </w:p>
    <w:tbl>
      <w:tblPr>
        <w:tblW w:w="101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64"/>
        <w:gridCol w:w="964"/>
        <w:gridCol w:w="964"/>
        <w:gridCol w:w="964"/>
        <w:gridCol w:w="964"/>
        <w:gridCol w:w="964"/>
      </w:tblGrid>
      <w:tr w:rsidR="00140967" w:rsidRPr="00C54F42" w14:paraId="0A0C0E48" w14:textId="77777777" w:rsidTr="003D7AC6">
        <w:trPr>
          <w:trHeight w:val="283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A951" w14:textId="77777777" w:rsidR="00140967" w:rsidRPr="00C54F42" w:rsidRDefault="00140967" w:rsidP="003D7AC6">
            <w:pPr>
              <w:spacing w:line="240" w:lineRule="auto"/>
              <w:rPr>
                <w:rFonts w:ascii="MB Corpo S Text Light" w:eastAsia="Times New Roman" w:hAnsi="MB Corpo S Text Light" w:cs="Times New Roman"/>
                <w:b/>
                <w:bCs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Mercedes-Benz Mobility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2F75E6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CABA7D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2T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479E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55C21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7DAC2ED5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8DA135" w14:textId="77777777" w:rsidR="00140967" w:rsidRPr="00C54F42" w:rsidRDefault="00140967" w:rsidP="003D7AC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1T-2T</w:t>
            </w:r>
          </w:p>
          <w:p w14:paraId="416E4399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1A27" w14:textId="77777777" w:rsidR="00140967" w:rsidRPr="00C54F42" w:rsidRDefault="00140967" w:rsidP="003D7AC6">
            <w:pPr>
              <w:spacing w:line="240" w:lineRule="auto"/>
              <w:jc w:val="center"/>
              <w:rPr>
                <w:rFonts w:ascii="MB Corpo S Text Light" w:eastAsia="Times New Roman" w:hAnsi="MB Corpo S Text Light" w:cs="Times New Roman"/>
                <w:color w:val="000000"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Variação 24/23</w:t>
            </w:r>
          </w:p>
        </w:tc>
      </w:tr>
      <w:tr w:rsidR="00140967" w:rsidRPr="00C54F42" w14:paraId="2784C850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97E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Receitas*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5827" w14:textId="17F6EFE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6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347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A4D7" w14:textId="0F67A99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6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506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8952" w14:textId="253760D0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-2,4%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F7FE" w14:textId="7321424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202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7FA5" w14:textId="4E5AC23E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145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DBDF" w14:textId="7D52CE4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+0,4%</w:t>
            </w:r>
          </w:p>
        </w:tc>
      </w:tr>
      <w:tr w:rsidR="00140967" w:rsidRPr="00C54F42" w14:paraId="403BB3A9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77C9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Novas vendas*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121E0" w14:textId="5C659D2D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14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094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6FA2" w14:textId="0B0364D3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15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415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06ADA" w14:textId="5889BEF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-8,6%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EE3C" w14:textId="45E3A00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28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844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40C0" w14:textId="008FA0B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30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116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7CE21" w14:textId="6CC1B06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-4,2%</w:t>
            </w:r>
          </w:p>
        </w:tc>
      </w:tr>
      <w:tr w:rsidR="00140967" w:rsidRPr="00C54F42" w14:paraId="39280EA3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34E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Volume de contratos (30 de junho)*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924E" w14:textId="771E002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135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9501" w14:textId="4EE0E82A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131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375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F299" w14:textId="376FD46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+3,3%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AA01" w14:textId="4E49B692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135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747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BAB5" w14:textId="665245F6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135</w:t>
            </w:r>
            <w:r w:rsidR="00C20A6B">
              <w:rPr>
                <w:color w:val="000000" w:themeColor="text1"/>
                <w:sz w:val="16"/>
              </w:rPr>
              <w:t>.</w:t>
            </w:r>
            <w:r w:rsidRPr="00C54F42">
              <w:rPr>
                <w:color w:val="000000" w:themeColor="text1"/>
                <w:sz w:val="16"/>
              </w:rPr>
              <w:t>027**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7A37F" w14:textId="5D9A05A9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+0,5%</w:t>
            </w:r>
          </w:p>
        </w:tc>
      </w:tr>
      <w:tr w:rsidR="00140967" w:rsidRPr="00C54F42" w14:paraId="082B898E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5257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A64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CC80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2FE0" w14:textId="583583D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+57,6%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9B5D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0359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711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2886" w14:textId="78D809EB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-22,6%</w:t>
            </w:r>
          </w:p>
        </w:tc>
      </w:tr>
      <w:tr w:rsidR="00140967" w:rsidRPr="00C54F42" w14:paraId="03D933A5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BD3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Resultados antes de juros e impostos (EBIT) ajustados*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BC66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271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719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9435" w14:textId="180F7698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-39,5%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93B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955F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987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43F0" w14:textId="1301814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-44,3%</w:t>
            </w:r>
          </w:p>
        </w:tc>
      </w:tr>
      <w:tr w:rsidR="00140967" w:rsidRPr="00C54F42" w14:paraId="33D12CB5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F252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capital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0229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DEF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4,9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D416" w14:textId="2445747F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+3,5%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3898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E892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10,2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E2293" w14:textId="3BC9FD14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-1.7%</w:t>
            </w:r>
          </w:p>
        </w:tc>
      </w:tr>
      <w:tr w:rsidR="00140967" w:rsidRPr="00C54F42" w14:paraId="6971DE6F" w14:textId="77777777" w:rsidTr="003D7AC6">
        <w:trPr>
          <w:trHeight w:val="283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CE448" w14:textId="77777777" w:rsidR="00140967" w:rsidRPr="00C54F42" w:rsidRDefault="00140967" w:rsidP="003D7AC6">
            <w:pPr>
              <w:spacing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54F42">
              <w:rPr>
                <w:b/>
                <w:sz w:val="16"/>
              </w:rPr>
              <w:t>Retorno de capital ajustado em %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97C4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10C8E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12,8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4899" w14:textId="1792E65C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-4.4%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0B73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8,5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CE39D" w14:textId="77777777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14,2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4D7A6" w14:textId="4EFEB225" w:rsidR="00140967" w:rsidRPr="00C54F42" w:rsidRDefault="00140967" w:rsidP="003D7AC6">
            <w:pPr>
              <w:spacing w:line="240" w:lineRule="auto"/>
              <w:jc w:val="right"/>
              <w:rPr>
                <w:rFonts w:eastAsia="MB Corpo S Text Office Light" w:cs="MB Corpo S Text Office Light"/>
                <w:color w:val="000000" w:themeColor="text1"/>
                <w:sz w:val="16"/>
                <w:szCs w:val="16"/>
              </w:rPr>
            </w:pPr>
            <w:r w:rsidRPr="00C54F42">
              <w:rPr>
                <w:color w:val="000000" w:themeColor="text1"/>
                <w:sz w:val="16"/>
              </w:rPr>
              <w:t>-5,7%</w:t>
            </w:r>
          </w:p>
        </w:tc>
      </w:tr>
    </w:tbl>
    <w:p w14:paraId="506F2E13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  <w:sz w:val="16"/>
          <w:szCs w:val="16"/>
        </w:rPr>
      </w:pPr>
      <w:r w:rsidRPr="00C54F42">
        <w:rPr>
          <w:color w:val="000000" w:themeColor="text1"/>
          <w:sz w:val="16"/>
        </w:rPr>
        <w:lastRenderedPageBreak/>
        <w:t>*</w:t>
      </w:r>
      <w:bookmarkStart w:id="2" w:name="_Int_SGxVk4y1"/>
      <w:r w:rsidRPr="00C54F42">
        <w:rPr>
          <w:color w:val="000000" w:themeColor="text1"/>
          <w:sz w:val="16"/>
        </w:rPr>
        <w:t>em</w:t>
      </w:r>
      <w:bookmarkEnd w:id="2"/>
      <w:r w:rsidRPr="00C54F42">
        <w:rPr>
          <w:color w:val="000000" w:themeColor="text1"/>
          <w:sz w:val="16"/>
        </w:rPr>
        <w:t xml:space="preserve"> milhões de euros</w:t>
      </w:r>
      <w:r w:rsidRPr="00C54F42">
        <w:br/>
      </w:r>
      <w:r w:rsidRPr="00C54F42">
        <w:rPr>
          <w:color w:val="000000" w:themeColor="text1"/>
          <w:sz w:val="16"/>
        </w:rPr>
        <w:t>** Valor no final do ano de 2023</w:t>
      </w:r>
    </w:p>
    <w:p w14:paraId="5447825E" w14:textId="77777777" w:rsidR="00140967" w:rsidRPr="00C54F42" w:rsidRDefault="00140967" w:rsidP="00140967">
      <w:pPr>
        <w:pStyle w:val="01Copytext"/>
      </w:pPr>
    </w:p>
    <w:p w14:paraId="56612677" w14:textId="77777777" w:rsidR="00140967" w:rsidRPr="00C54F42" w:rsidRDefault="00140967" w:rsidP="00140967">
      <w:pPr>
        <w:pStyle w:val="02Flietextbold"/>
        <w:rPr>
          <w:rFonts w:eastAsia="MB Corpo S Text Office" w:cs="MB Corpo S Text Office"/>
        </w:rPr>
      </w:pPr>
      <w:r w:rsidRPr="00C54F42">
        <w:rPr>
          <w:color w:val="000000" w:themeColor="text1"/>
        </w:rPr>
        <w:t>Transformação</w:t>
      </w:r>
    </w:p>
    <w:p w14:paraId="680D86A8" w14:textId="77777777" w:rsidR="00140967" w:rsidRPr="00C54F42" w:rsidRDefault="00140967" w:rsidP="00140967">
      <w:pPr>
        <w:spacing w:line="240" w:lineRule="auto"/>
      </w:pPr>
      <w:r w:rsidRPr="00C54F42">
        <w:rPr>
          <w:color w:val="000000" w:themeColor="text1"/>
        </w:rPr>
        <w:t>A capacidade de desenvolvimento de baterias foi reforçada com um novo centro de competências para o desenvolvimento de células e baterias, o designado eCampus, concebido para desenvolver composições químicas inovadoras e processos de produção otimizados para células de elevado desempenho com o “ADN Mercedes-Benz”. Além disso, a Mercedes-Benz avançou com o lançamento da sua funcionalidade Mudança Automática de Faixa de Rodagem</w:t>
      </w:r>
      <w:r w:rsidRPr="00C54F42">
        <w:rPr>
          <w:color w:val="000000" w:themeColor="text1"/>
          <w:sz w:val="16"/>
          <w:vertAlign w:val="superscript"/>
        </w:rPr>
        <w:t>2</w:t>
      </w:r>
      <w:r w:rsidRPr="00C54F42">
        <w:rPr>
          <w:color w:val="000000" w:themeColor="text1"/>
        </w:rPr>
        <w:t xml:space="preserve"> na Europa. </w:t>
      </w:r>
      <w:r w:rsidRPr="00C54F42">
        <w:t>A Mercedes-Benz Auto Finance Ltd. (MBAFC), parte da divisão Mercedes-Benz Mobility, emitiu com sucesso o seu primeiro Green Auto Loan Asset-Backed-Security (ABS) em julho de 2024 no mercado interbancário chinês de obrigações. Trata-se do primeiro ABS verde da Mercedes-Benz em todo o mundo e a Mercedes-Benz é a primeira empresa automóvel estrangeira a emitir um ABS verde na China.</w:t>
      </w:r>
    </w:p>
    <w:p w14:paraId="69F3DCA8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</w:p>
    <w:p w14:paraId="4B64FC03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  <w:r w:rsidRPr="00C54F42">
        <w:rPr>
          <w:rFonts w:ascii="MB Corpo S Text Office" w:hAnsi="MB Corpo S Text Office"/>
        </w:rPr>
        <w:t>Perspetivas</w:t>
      </w:r>
    </w:p>
    <w:p w14:paraId="2C5557A0" w14:textId="15FD6619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>A situação económica e os mercados automóveis continuam a ser caracterizados por um grau de incerteza. Para além de desenvolvimentos macroeconómicos inesperados, podem surgir incertezas para a economia global e para o desenvolvimento das atividades do Grupo Mercedes-Benz devido a acontecimentos geopolíticos e à política de trocas comerciais.</w:t>
      </w:r>
    </w:p>
    <w:p w14:paraId="610F6AC4" w14:textId="77777777" w:rsidR="00140967" w:rsidRPr="00C54F42" w:rsidRDefault="00140967" w:rsidP="00140967">
      <w:pPr>
        <w:rPr>
          <w:rFonts w:eastAsia="MB Corpo S Text Office Light" w:cs="MB Corpo S Text Office Light"/>
        </w:rPr>
      </w:pPr>
    </w:p>
    <w:p w14:paraId="6DC0DDEE" w14:textId="6DCB32C9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A empresa prevê vendas unitárias da divisão </w:t>
      </w:r>
      <w:r w:rsidRPr="00C54F42">
        <w:rPr>
          <w:rFonts w:ascii="MB Corpo S Text Office" w:hAnsi="MB Corpo S Text Office"/>
        </w:rPr>
        <w:t>Mercedes-Benz Cars</w:t>
      </w:r>
      <w:r w:rsidRPr="00C54F42">
        <w:t xml:space="preserve"> ao nível do ano anterior, com vendas globais que deverão</w:t>
      </w:r>
      <w:r>
        <w:rPr>
          <w:rFonts w:eastAsia="MB Corpo S Text Office Light" w:cs="MB Corpo S Text Office Light"/>
        </w:rPr>
        <w:t xml:space="preserve"> </w:t>
      </w:r>
      <w:r w:rsidRPr="00C54F42">
        <w:t xml:space="preserve">aumentar no segundo semestre de 2024, impulsionadas pela disponibilidade total de todos os novos modelos Classe E e GLC e por um aumento das vendas de veículos topo de gama. </w:t>
      </w:r>
    </w:p>
    <w:p w14:paraId="7CC5364F" w14:textId="77777777" w:rsidR="0032563A" w:rsidRDefault="0032563A" w:rsidP="00140967"/>
    <w:p w14:paraId="1B0ED312" w14:textId="45202200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Na Europa, a Mercedes-Benz vê melhorias no sentimento da economia em geral. </w:t>
      </w:r>
    </w:p>
    <w:p w14:paraId="220C18CD" w14:textId="77777777" w:rsidR="0032563A" w:rsidRDefault="0032563A" w:rsidP="00140967"/>
    <w:p w14:paraId="22C42AB0" w14:textId="31F8A5F1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Na China, a Mercedes-Benz tem uma visão cautelosa sobre o sentimento macroeconómico e a forte concorrência no segmento de entrada na marca e, em certa medida, no segmento </w:t>
      </w:r>
      <w:r w:rsidR="007E69D1" w:rsidRPr="007E69D1">
        <w:rPr>
          <w:i/>
          <w:iCs/>
        </w:rPr>
        <w:t>core</w:t>
      </w:r>
      <w:r w:rsidRPr="00C54F42">
        <w:t xml:space="preserve">. Na China, a empresa procura defender com sucesso a sua posição de liderança no segmento de veículos topo de gama num ambiente de mercado mais suave. </w:t>
      </w:r>
    </w:p>
    <w:p w14:paraId="2F60FB21" w14:textId="77777777" w:rsidR="0032563A" w:rsidRDefault="0032563A" w:rsidP="00140967"/>
    <w:p w14:paraId="5AA670E9" w14:textId="3534384F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>Nos Estados Unidos, observa-se uma dinâmica sólida nas vendas e na procura. Prevê-se uma evolução homóloga positiva para o segundo semestre de 2024, impulsionada pelas vendas do GLC.</w:t>
      </w:r>
    </w:p>
    <w:p w14:paraId="3E4685B8" w14:textId="2B02EC10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>Prevê-se que a quota de modelos xEV se situe entre 19 e 20%. Prevê-se que as vendas de híbridos plug-in aumentem no segundo semestre, impulsionadas pelos SUV e pela disponibilidade total do Classe E.</w:t>
      </w:r>
    </w:p>
    <w:p w14:paraId="7B6CA225" w14:textId="77777777" w:rsidR="0032563A" w:rsidRDefault="0032563A" w:rsidP="00140967"/>
    <w:p w14:paraId="3284ACFA" w14:textId="4ED13F7D" w:rsidR="00140967" w:rsidRPr="00C54F42" w:rsidRDefault="00140967" w:rsidP="00140967">
      <w:pPr>
        <w:rPr>
          <w:rFonts w:eastAsia="MB Corpo S Text Office Light" w:cs="MB Corpo S Text Office Light"/>
          <w:color w:val="000000" w:themeColor="text1"/>
        </w:rPr>
      </w:pPr>
      <w:r w:rsidRPr="00C54F42">
        <w:t xml:space="preserve">O retorno de vendas ajustado deverá situar-se entre os 10 e os 11% (anteriormente, entre 10 e 12%). A Mercedes-Benz prevê um aumento das vendas unitárias e uma melhoria da combinação de modelos na segunda metade do ano. A Mercedes-Benz também pretende manter os preços nos níveis atuais. A empresa regista alguma normalização do negócio de veículos usados que, em geral, se mantém num nível saudável. Os investimentos em instalações e equipamentos, as despesas de </w:t>
      </w:r>
      <w:r w:rsidRPr="00C54F42">
        <w:rPr>
          <w:color w:val="000000" w:themeColor="text1"/>
        </w:rPr>
        <w:t>investigação e desenvolvimento</w:t>
      </w:r>
      <w:r w:rsidRPr="00C54F42">
        <w:t xml:space="preserve"> e a </w:t>
      </w:r>
      <w:r w:rsidRPr="00C54F42">
        <w:rPr>
          <w:color w:val="000000" w:themeColor="text1"/>
        </w:rPr>
        <w:t xml:space="preserve">taxa de conversão de caixa ajustada mantêm-se inalterados entre 0,8 e 1,0. </w:t>
      </w:r>
    </w:p>
    <w:p w14:paraId="26ECB116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</w:rPr>
      </w:pPr>
    </w:p>
    <w:p w14:paraId="615270A8" w14:textId="6E2AD95E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</w:rPr>
      </w:pPr>
      <w:r w:rsidRPr="00C54F42">
        <w:t xml:space="preserve">A divisão </w:t>
      </w:r>
      <w:r w:rsidRPr="00C54F42">
        <w:rPr>
          <w:rFonts w:ascii="MB Corpo S Text Office" w:hAnsi="MB Corpo S Text Office"/>
        </w:rPr>
        <w:t>Mercedes-Benz Vans</w:t>
      </w:r>
      <w:r w:rsidRPr="00C54F42">
        <w:t xml:space="preserve"> </w:t>
      </w:r>
      <w:r w:rsidRPr="00C54F42">
        <w:rPr>
          <w:color w:val="000000" w:themeColor="text1"/>
        </w:rPr>
        <w:t>aumenta as suas previsões relativas ao retorno de vendas ajustado para 14 a 15% (anteriormente 12 a</w:t>
      </w:r>
      <w:r w:rsidR="007E69D1">
        <w:rPr>
          <w:color w:val="000000" w:themeColor="text1"/>
        </w:rPr>
        <w:t xml:space="preserve"> </w:t>
      </w:r>
      <w:r w:rsidRPr="00C54F42">
        <w:rPr>
          <w:color w:val="000000" w:themeColor="text1"/>
        </w:rPr>
        <w:t>14%),</w:t>
      </w:r>
      <w:r w:rsidRPr="00C54F42">
        <w:rPr>
          <w:rFonts w:ascii="MB Corpo S Text Office" w:hAnsi="MB Corpo S Text Office"/>
        </w:rPr>
        <w:t xml:space="preserve"> </w:t>
      </w:r>
      <w:r w:rsidRPr="00C54F42">
        <w:rPr>
          <w:color w:val="000000" w:themeColor="text1"/>
        </w:rPr>
        <w:t xml:space="preserve">dada a continuação de preços líquidos saudáveis e uma estrutura de preços favorável, apoiadas por reduções de custos abrangentes. A divisão de comerciais ligeiros encontra-se atualmente num ponto ideal no que diz respeito ao ciclo de vida dos produtos. A empresa espera um retorno saudável das vendas no segundo semestre, mas influenciado pelo aumento dos custos da nova plataforma VAN.EA. Tendo em consideração a atual evolução macroeconómica e as incertezas em relação ao segundo semestre, a empresa mantém-se prudente e </w:t>
      </w:r>
      <w:r w:rsidRPr="00C54F42">
        <w:rPr>
          <w:color w:val="000000" w:themeColor="text1"/>
        </w:rPr>
        <w:lastRenderedPageBreak/>
        <w:t>adota uma posição cautelosa. A procura do mercado deverá abrandar nos segmentos de monovolumes e comerciais ligeiros no segundo semestre. À medida que os mercados de veículos elétricos abrandam, a quota de xEV é agora de 5 a 7%. As previsões para o ano inteiro em termos de vendas, despesas de investigação e desenvolvimento</w:t>
      </w:r>
      <w:r w:rsidRPr="00C54F42">
        <w:t xml:space="preserve">, </w:t>
      </w:r>
      <w:r w:rsidRPr="00C54F42">
        <w:rPr>
          <w:color w:val="000000" w:themeColor="text1"/>
        </w:rPr>
        <w:t>investimentos em instalações e equipamentos, bem como a taxa de conversão de caixa ajustada, permanecem inalteradas.</w:t>
      </w:r>
    </w:p>
    <w:p w14:paraId="32B8CACD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</w:rPr>
      </w:pPr>
    </w:p>
    <w:p w14:paraId="7648F848" w14:textId="5B167AAE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</w:rPr>
      </w:pPr>
      <w:r w:rsidRPr="00C54F42">
        <w:rPr>
          <w:color w:val="000000" w:themeColor="text1"/>
        </w:rPr>
        <w:t xml:space="preserve">Devido ao ambiente de mercado exigente e às taxas de juro que se mantêm mais elevadas durante mais tempo, a </w:t>
      </w:r>
      <w:r w:rsidRPr="00C54F42">
        <w:rPr>
          <w:rFonts w:ascii="MB Corpo S Text Office" w:hAnsi="MB Corpo S Text Office"/>
          <w:color w:val="000000" w:themeColor="text1"/>
        </w:rPr>
        <w:t>Mercedes-Benz Mobility</w:t>
      </w:r>
      <w:r w:rsidRPr="00C54F42">
        <w:rPr>
          <w:color w:val="000000" w:themeColor="text1"/>
        </w:rPr>
        <w:t xml:space="preserve"> espera agora que o retorno de capital ajustado da divisão se situe no intervalo de 8,5 a 9,5% para o ano inteiro (anteriormente 10 a 12%). Partindo de um retorno de capital ajustado de 8,5% no primeiro semestre, a empresa prevê uma margem do portfólio estável no segundo semestre. A melhoria do custo do risco de crédito será parcialmente compensada pelo aumento dos custos de arranque da infraestrutura de carregamento e por um ambiente de mercado difícil, especialmente na China. A Mercedes-Benz Mobility continuará a trabalhar em termos de eficiência.</w:t>
      </w:r>
    </w:p>
    <w:p w14:paraId="6869CBE1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</w:rPr>
      </w:pPr>
    </w:p>
    <w:p w14:paraId="3DBF5BF8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</w:rPr>
      </w:pPr>
      <w:r w:rsidRPr="00C54F42">
        <w:rPr>
          <w:color w:val="000000" w:themeColor="text1"/>
        </w:rPr>
        <w:t xml:space="preserve">O </w:t>
      </w:r>
      <w:r w:rsidRPr="00C54F42">
        <w:rPr>
          <w:rFonts w:ascii="MB Corpo S Text Office" w:hAnsi="MB Corpo S Text Office"/>
          <w:color w:val="000000" w:themeColor="text1"/>
        </w:rPr>
        <w:t>Grupo Mercedes-Benz</w:t>
      </w:r>
      <w:r w:rsidRPr="00C54F42">
        <w:rPr>
          <w:color w:val="000000" w:themeColor="text1"/>
        </w:rPr>
        <w:t xml:space="preserve"> confirma as suas previsões. Prevê-se que as receitas do grupo se mantenham ao nível do ano anterior, com as previsões de receitas das divisões Mercedes-Benz Cars, Mercedes-Benz Vans e Mercedes-Benz Mobility inalteradas. Espera-se que o EBIT do grupo seja ligeiramente inferior ao nível do ano anterior, resultando das orientações divisionais, com o aumento das orientações na divisão de comerciais ligeiros a equilibrar a Mercedes-Benz Mobility. O fluxo de caixa livre do grupo da atividade industrial está previsto ficar ligeiramente abaixo dos níveis muito fortes registados a partir de 2023.</w:t>
      </w:r>
    </w:p>
    <w:p w14:paraId="7137FBC7" w14:textId="77777777" w:rsidR="00140967" w:rsidRPr="00C54F42" w:rsidRDefault="00140967" w:rsidP="00140967">
      <w:pPr>
        <w:spacing w:line="240" w:lineRule="auto"/>
        <w:rPr>
          <w:rFonts w:eastAsia="MB Corpo S Text Office Light" w:cs="MB Corpo S Text Office Light"/>
          <w:color w:val="000000" w:themeColor="text1"/>
          <w:highlight w:val="yellow"/>
        </w:rPr>
      </w:pPr>
    </w:p>
    <w:p w14:paraId="0BC2F476" w14:textId="77777777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Ligação para o comunicado de imprensa “Vendas do 2T de 2024”: </w:t>
      </w:r>
      <w:hyperlink r:id="rId14">
        <w:r w:rsidRPr="00C54F42">
          <w:rPr>
            <w:rStyle w:val="Hyperlink"/>
          </w:rPr>
          <w:t>media.mercedes-benz.com/sales</w:t>
        </w:r>
      </w:hyperlink>
    </w:p>
    <w:p w14:paraId="51290D63" w14:textId="77777777" w:rsidR="00140967" w:rsidRPr="00C54F42" w:rsidRDefault="00140967" w:rsidP="00140967">
      <w:pPr>
        <w:rPr>
          <w:rFonts w:ascii="MB Corpo S Text Office" w:eastAsia="MB Corpo S Text Office" w:hAnsi="MB Corpo S Text Office" w:cs="MB Corpo S Text Office"/>
        </w:rPr>
      </w:pPr>
    </w:p>
    <w:p w14:paraId="2EF3637C" w14:textId="77777777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t xml:space="preserve">Ligação para a apresentação do 2T de 2024 aos mercados de capitais: </w:t>
      </w:r>
      <w:hyperlink r:id="rId15">
        <w:r w:rsidRPr="00C54F42">
          <w:rPr>
            <w:rStyle w:val="normaltextrun"/>
            <w:color w:val="0563C1"/>
            <w:u w:val="single"/>
            <w:shd w:val="clear" w:color="auto" w:fill="FFFFFF"/>
          </w:rPr>
          <w:t>group.mercedes-benz.com/q2-2024/en</w:t>
        </w:r>
      </w:hyperlink>
    </w:p>
    <w:p w14:paraId="4A3C61B1" w14:textId="77777777" w:rsidR="00140967" w:rsidRPr="00C54F42" w:rsidRDefault="00140967" w:rsidP="00140967">
      <w:pPr>
        <w:pStyle w:val="02Copytextbold"/>
        <w:rPr>
          <w:rFonts w:ascii="MB Corpo S Text Office Light" w:eastAsia="MB Corpo S Text Office Light" w:hAnsi="MB Corpo S Text Office Light" w:cs="MB Corpo S Text Office Light"/>
        </w:rPr>
      </w:pPr>
    </w:p>
    <w:p w14:paraId="097C8E62" w14:textId="77777777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rPr>
          <w:vertAlign w:val="superscript"/>
        </w:rPr>
        <w:t xml:space="preserve">[1] </w:t>
      </w:r>
      <w:r w:rsidRPr="00C54F42">
        <w:rPr>
          <w:color w:val="000000" w:themeColor="text1"/>
        </w:rPr>
        <w:t xml:space="preserve">Mercedes-Benz G 580 com tecnologia EQ | consumo de energia em ciclo combinado: 30,3-27,7 kWh/100 km | emissões de CO₂ em ciclo combinado: 0 g/km | classe de emissões de CO₂: A. </w:t>
      </w:r>
      <w:r w:rsidRPr="00C54F42">
        <w:t>Os valores declarados foram determinados de acordo com o método de medição WLTP (Worldwide harmonised Light vehicles Test Procedure). A autonomia indicada refere-se aos mercados da União Europeia. O consumo de energia e as emissões de CO₂ de um veículo dependem não só da utilização eficiente do combustível ou da fonte de energia pelo veículo, mas também do estilo de condução e de outros fatores não técnicos.</w:t>
      </w:r>
    </w:p>
    <w:p w14:paraId="0A6EF93B" w14:textId="77777777" w:rsidR="00140967" w:rsidRPr="00C54F42" w:rsidRDefault="00140967" w:rsidP="00140967">
      <w:pPr>
        <w:rPr>
          <w:rFonts w:eastAsia="MB Corpo S Text Office Light" w:cs="MB Corpo S Text Office Light"/>
        </w:rPr>
      </w:pPr>
      <w:r w:rsidRPr="00C54F42">
        <w:rPr>
          <w:vertAlign w:val="superscript"/>
        </w:rPr>
        <w:t xml:space="preserve">[2] </w:t>
      </w:r>
      <w:r w:rsidRPr="00C54F42">
        <w:t>O sistema MBUX Navigation é um pré-requisito. Os sistemas de assistência à condução e de segurança da Mercedes-Benz são meramente auxílios e não isentam os condutores das suas responsabilidades. O condutor deve respeitar as instruções no manual do proprietário e os limites dos sistemas nele descritos.</w:t>
      </w:r>
    </w:p>
    <w:p w14:paraId="74E5CB6F" w14:textId="77777777" w:rsidR="00414CAD" w:rsidRDefault="00414CAD" w:rsidP="00140967"/>
    <w:sectPr w:rsidR="00414CAD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1412" w14:textId="77777777" w:rsidR="004F41CE" w:rsidRPr="00E675DA" w:rsidRDefault="004F41CE" w:rsidP="00764B8C">
      <w:pPr>
        <w:spacing w:line="240" w:lineRule="auto"/>
      </w:pPr>
      <w:r w:rsidRPr="00E675DA">
        <w:separator/>
      </w:r>
    </w:p>
  </w:endnote>
  <w:endnote w:type="continuationSeparator" w:id="0">
    <w:p w14:paraId="2B8C1FFA" w14:textId="77777777" w:rsidR="004F41CE" w:rsidRPr="00E675DA" w:rsidRDefault="004F41C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BD88" w14:textId="77777777" w:rsidR="004F41CE" w:rsidRPr="00E675DA" w:rsidRDefault="004F41CE" w:rsidP="00764B8C">
      <w:pPr>
        <w:spacing w:line="240" w:lineRule="auto"/>
      </w:pPr>
      <w:r w:rsidRPr="00E675DA">
        <w:separator/>
      </w:r>
    </w:p>
  </w:footnote>
  <w:footnote w:type="continuationSeparator" w:id="0">
    <w:p w14:paraId="3608251A" w14:textId="77777777" w:rsidR="004F41CE" w:rsidRPr="00E675DA" w:rsidRDefault="004F41C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A03999"/>
    <w:multiLevelType w:val="hybridMultilevel"/>
    <w:tmpl w:val="40F427D8"/>
    <w:lvl w:ilvl="0" w:tplc="E4DC4EEC">
      <w:start w:val="2024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42BC78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4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6"/>
  </w:num>
  <w:num w:numId="12" w16cid:durableId="1291281382">
    <w:abstractNumId w:val="10"/>
  </w:num>
  <w:num w:numId="13" w16cid:durableId="1009916771">
    <w:abstractNumId w:val="37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31"/>
  </w:num>
  <w:num w:numId="17" w16cid:durableId="905997546">
    <w:abstractNumId w:val="29"/>
  </w:num>
  <w:num w:numId="18" w16cid:durableId="914363985">
    <w:abstractNumId w:val="12"/>
  </w:num>
  <w:num w:numId="19" w16cid:durableId="1621692847">
    <w:abstractNumId w:val="33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2"/>
  </w:num>
  <w:num w:numId="23" w16cid:durableId="226500085">
    <w:abstractNumId w:val="24"/>
  </w:num>
  <w:num w:numId="24" w16cid:durableId="242180191">
    <w:abstractNumId w:val="38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30"/>
  </w:num>
  <w:num w:numId="29" w16cid:durableId="1177961674">
    <w:abstractNumId w:val="11"/>
  </w:num>
  <w:num w:numId="30" w16cid:durableId="674575768">
    <w:abstractNumId w:val="26"/>
  </w:num>
  <w:num w:numId="31" w16cid:durableId="376514968">
    <w:abstractNumId w:val="20"/>
  </w:num>
  <w:num w:numId="32" w16cid:durableId="1025983616">
    <w:abstractNumId w:val="23"/>
  </w:num>
  <w:num w:numId="33" w16cid:durableId="150869964">
    <w:abstractNumId w:val="19"/>
  </w:num>
  <w:num w:numId="34" w16cid:durableId="678502699">
    <w:abstractNumId w:val="28"/>
  </w:num>
  <w:num w:numId="35" w16cid:durableId="503712214">
    <w:abstractNumId w:val="42"/>
  </w:num>
  <w:num w:numId="36" w16cid:durableId="928121553">
    <w:abstractNumId w:val="25"/>
  </w:num>
  <w:num w:numId="37" w16cid:durableId="1638342017">
    <w:abstractNumId w:val="21"/>
  </w:num>
  <w:num w:numId="38" w16cid:durableId="1090539938">
    <w:abstractNumId w:val="35"/>
  </w:num>
  <w:num w:numId="39" w16cid:durableId="849678807">
    <w:abstractNumId w:val="39"/>
  </w:num>
  <w:num w:numId="40" w16cid:durableId="1375934040">
    <w:abstractNumId w:val="21"/>
  </w:num>
  <w:num w:numId="41" w16cid:durableId="1130199639">
    <w:abstractNumId w:val="34"/>
  </w:num>
  <w:num w:numId="42" w16cid:durableId="1891570085">
    <w:abstractNumId w:val="32"/>
  </w:num>
  <w:num w:numId="43" w16cid:durableId="357241032">
    <w:abstractNumId w:val="27"/>
  </w:num>
  <w:num w:numId="44" w16cid:durableId="1511329846">
    <w:abstractNumId w:val="21"/>
  </w:num>
  <w:num w:numId="45" w16cid:durableId="3378503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8A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1B0"/>
    <w:rsid w:val="0013734C"/>
    <w:rsid w:val="0013746D"/>
    <w:rsid w:val="001379CA"/>
    <w:rsid w:val="0014067B"/>
    <w:rsid w:val="00140760"/>
    <w:rsid w:val="00140967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2AD8"/>
    <w:rsid w:val="001B3F3E"/>
    <w:rsid w:val="001B4698"/>
    <w:rsid w:val="001B4BAC"/>
    <w:rsid w:val="001B530E"/>
    <w:rsid w:val="001B6A24"/>
    <w:rsid w:val="001C08B3"/>
    <w:rsid w:val="001C186A"/>
    <w:rsid w:val="001C39E9"/>
    <w:rsid w:val="001C4908"/>
    <w:rsid w:val="001C4C79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25D0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B5C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63A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6DA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A668C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303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5627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03D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AFC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1CE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64A"/>
    <w:rsid w:val="00551D34"/>
    <w:rsid w:val="005531BD"/>
    <w:rsid w:val="00553CFF"/>
    <w:rsid w:val="00554532"/>
    <w:rsid w:val="00554C0B"/>
    <w:rsid w:val="005553B3"/>
    <w:rsid w:val="00555478"/>
    <w:rsid w:val="00555975"/>
    <w:rsid w:val="00556662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2929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655E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DA4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22F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69D1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39D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1B4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50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67438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266A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AF7B9E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3715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4F4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57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0A6B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186B"/>
    <w:rsid w:val="00CD284F"/>
    <w:rsid w:val="00CD286F"/>
    <w:rsid w:val="00CD2A37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AAB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8B8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0C0A"/>
    <w:rsid w:val="00DF17C4"/>
    <w:rsid w:val="00DF30FC"/>
    <w:rsid w:val="00DF5969"/>
    <w:rsid w:val="00DF5F0B"/>
    <w:rsid w:val="00DF60D2"/>
    <w:rsid w:val="00DF6908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1A1E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2D5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34B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5A90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  <w:style w:type="paragraph" w:customStyle="1" w:styleId="Default">
    <w:name w:val="Default"/>
    <w:rsid w:val="00414303"/>
    <w:pPr>
      <w:autoSpaceDE w:val="0"/>
      <w:autoSpaceDN w:val="0"/>
      <w:adjustRightInd w:val="0"/>
      <w:spacing w:after="0" w:line="240" w:lineRule="auto"/>
    </w:pPr>
    <w:rPr>
      <w:rFonts w:ascii="MB Corpo S Text Office Light" w:hAnsi="MB Corpo S Text Office Light" w:cs="MB Corpo S Text Office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group.mercedes-benz.com/investors/reports-news/interim-reports/q2-2024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edia.mercedes-benz.com/article/5a9a9a20-f613-434f-b1d9-64bcd0ea2c5b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5</Pages>
  <Words>2537</Words>
  <Characters>13706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56</cp:revision>
  <cp:lastPrinted>2024-07-10T15:16:00Z</cp:lastPrinted>
  <dcterms:created xsi:type="dcterms:W3CDTF">2024-01-03T15:27:00Z</dcterms:created>
  <dcterms:modified xsi:type="dcterms:W3CDTF">2024-07-26T12:19:00Z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