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3E9FD929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549E297" w14:textId="77777777" w:rsidR="00060587" w:rsidRPr="00972DBE" w:rsidRDefault="00060587" w:rsidP="00D64152"/>
        </w:tc>
        <w:tc>
          <w:tcPr>
            <w:tcW w:w="2524" w:type="dxa"/>
          </w:tcPr>
          <w:p w14:paraId="2E86C0F1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2A4A603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1816702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5C5967C2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6CEE5882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EC65490" w14:textId="7EE36C82" w:rsidR="008D5D38" w:rsidRPr="00487FB2" w:rsidRDefault="008B3CC9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abril</w:t>
            </w:r>
            <w:r w:rsidR="001873CB">
              <w:rPr>
                <w:sz w:val="21"/>
                <w:szCs w:val="23"/>
              </w:rPr>
              <w:t xml:space="preserve"> 202</w:t>
            </w:r>
            <w:r w:rsidR="00D75F1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9A6C9FD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2E24B142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55AC31A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5FB81AE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AAC3C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50B10B44" w14:textId="77777777" w:rsidR="00E33FC8" w:rsidRPr="00972DBE" w:rsidRDefault="00E33FC8" w:rsidP="00405A0F">
      <w:pPr>
        <w:pStyle w:val="Heading1"/>
        <w:sectPr w:rsidR="00E33FC8" w:rsidRPr="00972DBE" w:rsidSect="00D06A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330A04D3" w14:textId="77777777" w:rsidR="008D5D38" w:rsidRDefault="008D5D38" w:rsidP="008D5D38"/>
    <w:p w14:paraId="2267D351" w14:textId="77777777" w:rsidR="00E87AAE" w:rsidRDefault="00E87AAE" w:rsidP="00E87AAE">
      <w:r>
        <w:t>Contactos:</w:t>
      </w:r>
    </w:p>
    <w:p w14:paraId="04229AE7" w14:textId="77777777" w:rsidR="00E87AAE" w:rsidRDefault="00E87AAE" w:rsidP="00E87AAE">
      <w:r>
        <w:t xml:space="preserve">Daniela Jorge – </w:t>
      </w:r>
      <w:proofErr w:type="spellStart"/>
      <w:r>
        <w:t>Tel</w:t>
      </w:r>
      <w:proofErr w:type="spellEnd"/>
      <w:r>
        <w:t>: 964 333 886</w:t>
      </w:r>
    </w:p>
    <w:p w14:paraId="32A805EF" w14:textId="61EBFD78" w:rsidR="00E87AAE" w:rsidRDefault="00E87AAE" w:rsidP="00E87AAE">
      <w:r>
        <w:t>Comunicação de Automóveis - Tel.: 219 257</w:t>
      </w:r>
      <w:r w:rsidR="00985B73">
        <w:t> </w:t>
      </w:r>
      <w:r>
        <w:t>000</w:t>
      </w:r>
    </w:p>
    <w:p w14:paraId="68633599" w14:textId="77777777" w:rsidR="00985B73" w:rsidRDefault="00985B73" w:rsidP="00E4315B">
      <w:pPr>
        <w:pStyle w:val="Heading1"/>
      </w:pPr>
      <w:bookmarkStart w:id="0" w:name="_Hlk163484951"/>
    </w:p>
    <w:p w14:paraId="66EF136A" w14:textId="10FECC5A" w:rsidR="004C2838" w:rsidRPr="00256661" w:rsidRDefault="006B5B2C" w:rsidP="004C2838">
      <w:pPr>
        <w:pStyle w:val="Heading1"/>
      </w:pPr>
      <w:bookmarkStart w:id="1" w:name="_Hlk165296405"/>
      <w:bookmarkEnd w:id="0"/>
      <w:r w:rsidRPr="006B5B2C">
        <w:t>Primeiro trimestre da Mercedes-Benz marcado por sólidos resultados financeiros e pela introdução de novos modelos topo de gama</w:t>
      </w:r>
    </w:p>
    <w:bookmarkEnd w:id="1"/>
    <w:p w14:paraId="0D30DF12" w14:textId="7B2414D8" w:rsidR="006B5B2C" w:rsidRPr="00067FA8" w:rsidRDefault="006B5B2C" w:rsidP="006B5B2C">
      <w:pPr>
        <w:pStyle w:val="ListParagraph"/>
        <w:numPr>
          <w:ilvl w:val="0"/>
          <w:numId w:val="45"/>
        </w:numPr>
        <w:spacing w:line="240" w:lineRule="auto"/>
        <w:textAlignment w:val="baseline"/>
        <w:rPr>
          <w:rFonts w:eastAsia="Times New Roman" w:cs="Segoe UI"/>
          <w:szCs w:val="21"/>
        </w:rPr>
      </w:pPr>
      <w:r w:rsidRPr="00067FA8">
        <w:rPr>
          <w:b/>
        </w:rPr>
        <w:t xml:space="preserve">Desempenho: </w:t>
      </w:r>
      <w:r>
        <w:t>O</w:t>
      </w:r>
      <w:r w:rsidRPr="00067FA8">
        <w:t xml:space="preserve"> retorno de vendas ajustado da divisão Mercedes-Benz </w:t>
      </w:r>
      <w:proofErr w:type="spellStart"/>
      <w:r w:rsidRPr="00067FA8">
        <w:t>Cars</w:t>
      </w:r>
      <w:proofErr w:type="spellEnd"/>
      <w:r w:rsidRPr="00067FA8">
        <w:t xml:space="preserve"> no primeiro trimestre atingiu os 9,0% (1T 2023: 14,8%) e 16,3% na divisão Mercedes-Benz Vans (1T 2023: 15,6%); o retorno de capital ajustado atingiu os 8</w:t>
      </w:r>
      <w:r>
        <w:t>,</w:t>
      </w:r>
      <w:r w:rsidRPr="00067FA8">
        <w:t xml:space="preserve">5% na Mercedes-Benz </w:t>
      </w:r>
      <w:proofErr w:type="spellStart"/>
      <w:r w:rsidRPr="00067FA8">
        <w:t>Mobility</w:t>
      </w:r>
      <w:proofErr w:type="spellEnd"/>
      <w:r w:rsidRPr="00067FA8">
        <w:t xml:space="preserve"> (1T 2023: 15,6%) </w:t>
      </w:r>
    </w:p>
    <w:p w14:paraId="26EA76A7" w14:textId="77777777" w:rsidR="006B5B2C" w:rsidRPr="00067FA8" w:rsidRDefault="006B5B2C" w:rsidP="006B5B2C">
      <w:pPr>
        <w:pStyle w:val="ListParagraph"/>
        <w:numPr>
          <w:ilvl w:val="0"/>
          <w:numId w:val="45"/>
        </w:numPr>
        <w:spacing w:line="240" w:lineRule="auto"/>
        <w:textAlignment w:val="baseline"/>
        <w:rPr>
          <w:rFonts w:eastAsia="Times New Roman" w:cs="Segoe UI"/>
          <w:szCs w:val="21"/>
        </w:rPr>
      </w:pPr>
      <w:r w:rsidRPr="00067FA8">
        <w:rPr>
          <w:b/>
        </w:rPr>
        <w:t xml:space="preserve">Novos produtos: </w:t>
      </w:r>
      <w:r>
        <w:t>A</w:t>
      </w:r>
      <w:r w:rsidRPr="00067FA8">
        <w:t>presentações mundiais do novo Classe G elétrico</w:t>
      </w:r>
      <w:r w:rsidRPr="00067FA8">
        <w:rPr>
          <w:sz w:val="16"/>
          <w:vertAlign w:val="superscript"/>
        </w:rPr>
        <w:t>1</w:t>
      </w:r>
      <w:r w:rsidRPr="00067FA8">
        <w:t xml:space="preserve"> e do novo Classe G; atualização do modelo EQS; revelados os modelos AMG GT Coupé e AMG Classe E.</w:t>
      </w:r>
      <w:r w:rsidRPr="00067FA8">
        <w:rPr>
          <w:rFonts w:ascii="Calibri" w:hAnsi="Calibri"/>
          <w:color w:val="000000" w:themeColor="text1"/>
        </w:rPr>
        <w:t>  </w:t>
      </w:r>
    </w:p>
    <w:p w14:paraId="0BD6B897" w14:textId="77777777" w:rsidR="006B5B2C" w:rsidRPr="00067FA8" w:rsidRDefault="006B5B2C" w:rsidP="006B5B2C">
      <w:pPr>
        <w:pStyle w:val="ListParagraph"/>
        <w:numPr>
          <w:ilvl w:val="0"/>
          <w:numId w:val="45"/>
        </w:numPr>
        <w:spacing w:line="240" w:lineRule="auto"/>
        <w:textAlignment w:val="baseline"/>
        <w:rPr>
          <w:rFonts w:eastAsia="Times New Roman" w:cs="Segoe UI"/>
          <w:szCs w:val="21"/>
        </w:rPr>
      </w:pPr>
      <w:r w:rsidRPr="00067FA8">
        <w:rPr>
          <w:b/>
        </w:rPr>
        <w:t>Atualização da recompra de ações:</w:t>
      </w:r>
      <w:r w:rsidRPr="00067FA8">
        <w:t xml:space="preserve"> </w:t>
      </w:r>
      <w:r>
        <w:t>A</w:t>
      </w:r>
      <w:r w:rsidRPr="00067FA8">
        <w:t>té ao terceiro trimestre de 2024, prevê-se que a recompra de ações atinja um total de 4 mil milhões de euros e que o objetivo de 7 mil milhões de euros seja atingido no primeiro trimestre de 2025, antes da Assembleia Geral Anual. </w:t>
      </w:r>
    </w:p>
    <w:p w14:paraId="47743D1D" w14:textId="66919C3F" w:rsidR="006B5B2C" w:rsidRPr="00067FA8" w:rsidRDefault="006B5B2C" w:rsidP="006B5B2C">
      <w:pPr>
        <w:pStyle w:val="ListParagraph"/>
        <w:numPr>
          <w:ilvl w:val="0"/>
          <w:numId w:val="45"/>
        </w:numPr>
        <w:spacing w:line="240" w:lineRule="auto"/>
        <w:textAlignment w:val="baseline"/>
        <w:rPr>
          <w:rFonts w:eastAsia="Times New Roman" w:cs="Segoe UI"/>
        </w:rPr>
      </w:pPr>
      <w:r w:rsidRPr="00067FA8">
        <w:rPr>
          <w:b/>
        </w:rPr>
        <w:t>Previsões inalteradas:</w:t>
      </w:r>
      <w:r w:rsidRPr="00067FA8">
        <w:rPr>
          <w:rFonts w:ascii="MB Corpo S Text Office" w:hAnsi="MB Corpo S Text Office"/>
        </w:rPr>
        <w:t xml:space="preserve"> </w:t>
      </w:r>
      <w:r>
        <w:t>A</w:t>
      </w:r>
      <w:r w:rsidRPr="00067FA8">
        <w:t xml:space="preserve">s receitas da Mercedes-Benz </w:t>
      </w:r>
      <w:proofErr w:type="spellStart"/>
      <w:r w:rsidRPr="00067FA8">
        <w:t>Group</w:t>
      </w:r>
      <w:proofErr w:type="spellEnd"/>
      <w:r w:rsidRPr="00067FA8">
        <w:t xml:space="preserve"> em 2024 devem ficar ao nível do ano anterior; o EBIT do Grupo e o fluxo de caixa livre da atividade industrial deverão situar-se ligeiramente abaixo do nível do ano anterior; o retorno de vendas ajustado da divisão Mercedes-Benz </w:t>
      </w:r>
      <w:proofErr w:type="spellStart"/>
      <w:r w:rsidRPr="00067FA8">
        <w:t>Cars</w:t>
      </w:r>
      <w:proofErr w:type="spellEnd"/>
      <w:r w:rsidRPr="00067FA8">
        <w:t xml:space="preserve"> deverá situar-se entre 10 e 12%; o retorno de vendas ajustado da divisão Mercedes-Benz Vans deverá situar-se entre 12 e 14% enquanto o retorno de capital ajustado da Mercedes-Benz </w:t>
      </w:r>
      <w:proofErr w:type="spellStart"/>
      <w:r w:rsidRPr="00067FA8">
        <w:t>Mobility</w:t>
      </w:r>
      <w:proofErr w:type="spellEnd"/>
      <w:r w:rsidRPr="00067FA8">
        <w:t xml:space="preserve"> deverá situar-se entre 10 e 12%. </w:t>
      </w:r>
    </w:p>
    <w:p w14:paraId="07744340" w14:textId="77777777" w:rsidR="00B907C9" w:rsidRPr="00363F23" w:rsidRDefault="00B907C9" w:rsidP="00B907C9">
      <w:pPr>
        <w:pStyle w:val="02Flietextbold"/>
        <w:ind w:left="720"/>
      </w:pPr>
    </w:p>
    <w:p w14:paraId="22AF7583" w14:textId="25722DE5" w:rsidR="006B5B2C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t xml:space="preserve">A Mercedes-Benz </w:t>
      </w:r>
      <w:proofErr w:type="spellStart"/>
      <w:r w:rsidRPr="00067FA8">
        <w:t>Group</w:t>
      </w:r>
      <w:proofErr w:type="spellEnd"/>
      <w:r w:rsidRPr="00067FA8">
        <w:t xml:space="preserve"> AG (símbolo: MBG) comunicou um fluxo de caixa livre sólido da atividade industrial de 2,23 mil milhões de euros (1T 2023: 2,16 mil milhões de euros) no primeiro trimestre, com uma forte conversão de caixa, incluindo uma evolução positiva do fundo de maneio. Os resultados antes de juros e impostos (EBIT) do Grupo totaliz</w:t>
      </w:r>
      <w:r>
        <w:t>aram</w:t>
      </w:r>
      <w:r w:rsidRPr="00067FA8">
        <w:t xml:space="preserve"> 3,9 mil milhões de euros (1T 2023: 5,5 mil milhões de euros), refletindo preços mais baixos das matérias-primas, controlo rígido de custos e um forte desempenho na divisão Mercedes-Benz Vans. Estes efeitos compensam parcialmente a </w:t>
      </w:r>
      <w:r w:rsidRPr="00067FA8">
        <w:rPr>
          <w:color w:val="333333"/>
        </w:rPr>
        <w:t xml:space="preserve">diminuição das vendas na divisão Mercedes-Benz </w:t>
      </w:r>
      <w:proofErr w:type="spellStart"/>
      <w:r w:rsidRPr="00067FA8">
        <w:rPr>
          <w:color w:val="333333"/>
        </w:rPr>
        <w:t>Cars</w:t>
      </w:r>
      <w:proofErr w:type="spellEnd"/>
      <w:r w:rsidRPr="00067FA8">
        <w:rPr>
          <w:color w:val="333333"/>
        </w:rPr>
        <w:t xml:space="preserve"> onde os constrangimentos da cadeia de fornecimento e a renovação de modelos no segmento topo de gama também levaram a um portfólio de modelos menos favorável.</w:t>
      </w:r>
      <w:r w:rsidRPr="00067FA8">
        <w:t xml:space="preserve"> As receitas do Grupo atingiram os 35,9 mil milhões de euros (1T 2023: 37,5 mil milhões de euros).  </w:t>
      </w:r>
    </w:p>
    <w:p w14:paraId="3D129F60" w14:textId="77777777" w:rsidR="006B5B2C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543312ED" w14:textId="77777777" w:rsidR="006B5B2C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68F0A87A" w14:textId="77777777" w:rsidR="006B5B2C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007DD523" w14:textId="77777777" w:rsidR="006B5B2C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4C02EDF6" w14:textId="77777777" w:rsidR="006B5B2C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1C519DEE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403BECC5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rFonts w:ascii="MB Corpo S Text Office" w:hAnsi="MB Corpo S Text Offic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5"/>
        <w:gridCol w:w="960"/>
        <w:gridCol w:w="960"/>
        <w:gridCol w:w="960"/>
      </w:tblGrid>
      <w:tr w:rsidR="006B5B2C" w:rsidRPr="00067FA8" w14:paraId="478CE679" w14:textId="77777777" w:rsidTr="00BE6953">
        <w:trPr>
          <w:trHeight w:val="270"/>
        </w:trPr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F714A9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lastRenderedPageBreak/>
              <w:t xml:space="preserve">Mercedes-Benz </w:t>
            </w:r>
            <w:proofErr w:type="spellStart"/>
            <w:r w:rsidRPr="00067FA8">
              <w:rPr>
                <w:b/>
                <w:sz w:val="16"/>
              </w:rPr>
              <w:t>Group</w:t>
            </w:r>
            <w:proofErr w:type="spellEnd"/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2E08219" w14:textId="77777777" w:rsidR="006B5B2C" w:rsidRPr="00067FA8" w:rsidRDefault="006B5B2C" w:rsidP="00BE6953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1T 2024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9EB9F5E" w14:textId="77777777" w:rsidR="006B5B2C" w:rsidRPr="00067FA8" w:rsidRDefault="006B5B2C" w:rsidP="00BE6953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1T 2023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4DD262" w14:textId="77777777" w:rsidR="006B5B2C" w:rsidRPr="00067FA8" w:rsidRDefault="006B5B2C" w:rsidP="00BE6953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Variação 24/23</w:t>
            </w:r>
            <w:r w:rsidRPr="00067FA8">
              <w:rPr>
                <w:sz w:val="16"/>
              </w:rPr>
              <w:t> </w:t>
            </w:r>
          </w:p>
        </w:tc>
      </w:tr>
      <w:tr w:rsidR="006B5B2C" w:rsidRPr="00067FA8" w14:paraId="434712DB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7286E1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Receitas*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AD0DD3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35 873 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83850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37 516 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9514AE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-4,4% </w:t>
            </w:r>
          </w:p>
        </w:tc>
      </w:tr>
      <w:tr w:rsidR="006B5B2C" w:rsidRPr="00067FA8" w14:paraId="1927769E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AB2584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Resultados antes de juros e impostos (EBIT)*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CAF724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3863 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781724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5504 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1C8BAF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-29,8% </w:t>
            </w:r>
          </w:p>
        </w:tc>
      </w:tr>
      <w:tr w:rsidR="006B5B2C" w:rsidRPr="00067FA8" w14:paraId="385D62D9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FE4E2A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Resultados antes de juros e impostos (EBIT) ajustados*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094EAA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3598 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1BAC72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5422 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35F56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-33,6% </w:t>
            </w:r>
          </w:p>
        </w:tc>
      </w:tr>
      <w:tr w:rsidR="006B5B2C" w:rsidRPr="00067FA8" w14:paraId="068CA457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A5FB5E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Lucro/prejuízo líquido*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A92B81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3025 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F6AC21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4011 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367E00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-24,6% </w:t>
            </w:r>
          </w:p>
        </w:tc>
      </w:tr>
      <w:tr w:rsidR="006B5B2C" w:rsidRPr="00067FA8" w14:paraId="66078182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894504" w14:textId="58010C5E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 xml:space="preserve">Fluxo de caixa livre (atividade </w:t>
            </w:r>
            <w:proofErr w:type="gramStart"/>
            <w:r w:rsidRPr="00067FA8">
              <w:rPr>
                <w:b/>
                <w:sz w:val="16"/>
              </w:rPr>
              <w:t>industrial)*</w:t>
            </w:r>
            <w:proofErr w:type="gramEnd"/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299920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2233 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E41EF7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2164 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84C85E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+3,2% </w:t>
            </w:r>
          </w:p>
        </w:tc>
      </w:tr>
      <w:tr w:rsidR="006B5B2C" w:rsidRPr="00067FA8" w14:paraId="19210E4C" w14:textId="77777777" w:rsidTr="00BE6953">
        <w:trPr>
          <w:trHeight w:val="285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003D61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Resultados por ação em EUR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3F9452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2,86 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29DEB7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3,69 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51CC8C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-22,5% </w:t>
            </w:r>
          </w:p>
        </w:tc>
      </w:tr>
    </w:tbl>
    <w:p w14:paraId="242E41C4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  <w:sz w:val="16"/>
        </w:rPr>
        <w:t>* em milhões de euros </w:t>
      </w:r>
    </w:p>
    <w:p w14:paraId="1D9DD2F9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t> </w:t>
      </w:r>
    </w:p>
    <w:p w14:paraId="4AB35AF8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rFonts w:ascii="MB Corpo S Text Office" w:hAnsi="MB Corpo S Text Office"/>
        </w:rPr>
        <w:t>Investimentos, fluxo de caixa livre e liquidez </w:t>
      </w:r>
    </w:p>
    <w:p w14:paraId="5DB5C4FE" w14:textId="77777777" w:rsidR="006B5B2C" w:rsidRPr="00067FA8" w:rsidRDefault="006B5B2C" w:rsidP="006B5B2C">
      <w:pPr>
        <w:spacing w:line="240" w:lineRule="auto"/>
        <w:textAlignment w:val="baseline"/>
        <w:rPr>
          <w:rFonts w:eastAsia="Times New Roman" w:cs="Segoe UI"/>
        </w:rPr>
      </w:pPr>
      <w:r w:rsidRPr="00067FA8">
        <w:t xml:space="preserve">O fluxo de caixa livre da atividade industrial no primeiro trimestre atingiu os 2,23 mil milhões de euros (1T 2023: 2,16 mil milhões de euros), apoiado por uma taxa de conversão de caixa ajustada de 1,0 na divisão Mercedes-Benz </w:t>
      </w:r>
      <w:proofErr w:type="spellStart"/>
      <w:r w:rsidRPr="00067FA8">
        <w:t>Cars</w:t>
      </w:r>
      <w:proofErr w:type="spellEnd"/>
      <w:r w:rsidRPr="00067FA8">
        <w:t>. </w:t>
      </w:r>
    </w:p>
    <w:p w14:paraId="46AD09EE" w14:textId="77777777" w:rsidR="006B5B2C" w:rsidRDefault="006B5B2C" w:rsidP="006B5B2C">
      <w:pPr>
        <w:spacing w:line="240" w:lineRule="auto"/>
        <w:textAlignment w:val="baseline"/>
      </w:pPr>
    </w:p>
    <w:p w14:paraId="21532981" w14:textId="26A5EE20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t>A liquidez da atividade industrial aumentou 6 % para um nível forte e muito confortável de 33,6 mil milhões de euros (final de 2023: 31,7 mil milhões de euros). Isto inclui a recompra de ações no valor de aproximadamente 300 milhões de euros no primeiro trimestre. Os investimentos do grupo em propriedades, fábricas e equipamentos no ano completo ascenderam a 0,7 mil milhões de euros (1T 2023: 0,8 mil milhões de euros). Os gastos em investigação e desenvolvimento diminuíram para 2,2 mil milhões de euros (1T 2023: 2,5 mil milhões de euros).   </w:t>
      </w:r>
    </w:p>
    <w:p w14:paraId="0E6BFC8E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t> </w:t>
      </w:r>
    </w:p>
    <w:p w14:paraId="5FC47A06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rFonts w:ascii="MB Corpo S Text Office" w:hAnsi="MB Corpo S Text Office"/>
        </w:rPr>
        <w:t>Resultados por divisão </w:t>
      </w:r>
    </w:p>
    <w:p w14:paraId="0F8A18FE" w14:textId="13B1CA2D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t xml:space="preserve">Os resultados antes de juros e impostos na divisão </w:t>
      </w:r>
      <w:r w:rsidRPr="00067FA8">
        <w:rPr>
          <w:rFonts w:asciiTheme="minorHAnsi" w:eastAsiaTheme="minorEastAsia" w:hAnsiTheme="minorHAnsi"/>
        </w:rPr>
        <w:t xml:space="preserve">Mercedes-Benz </w:t>
      </w:r>
      <w:proofErr w:type="spellStart"/>
      <w:r w:rsidRPr="00067FA8">
        <w:rPr>
          <w:rFonts w:asciiTheme="minorHAnsi" w:eastAsiaTheme="minorEastAsia" w:hAnsiTheme="minorHAnsi"/>
        </w:rPr>
        <w:t>Cars</w:t>
      </w:r>
      <w:proofErr w:type="spellEnd"/>
      <w:r w:rsidRPr="00067FA8">
        <w:rPr>
          <w:rFonts w:asciiTheme="minorHAnsi" w:eastAsiaTheme="minorEastAsia" w:hAnsiTheme="minorHAnsi"/>
        </w:rPr>
        <w:t xml:space="preserve"> </w:t>
      </w:r>
      <w:r w:rsidRPr="00067FA8">
        <w:t>atingiram os 2,5 mil milhões de euros (1T 2023: 4,1 mil milhões de euros)</w:t>
      </w:r>
      <w:r w:rsidRPr="00067FA8">
        <w:rPr>
          <w:b/>
        </w:rPr>
        <w:t xml:space="preserve"> </w:t>
      </w:r>
      <w:r w:rsidRPr="00067FA8">
        <w:t xml:space="preserve">e resultaram de um retorno de vendas ajustado de 9,0% (1T 2023: 14,8%) principalmente devido a um declínio temporário das vendas unitárias, à renovação de modelos no segmento topo de gama </w:t>
      </w:r>
      <w:r>
        <w:t xml:space="preserve">e </w:t>
      </w:r>
      <w:r w:rsidRPr="00067FA8">
        <w:t xml:space="preserve">aos custos superiores da gestão do ciclo de vida para manter os produtos atualizados em termos tecnológicos. O segmento topo de gama sofreu com o processo de renovação do Classe G e dos modelos Mercedes-AMG Classe E </w:t>
      </w:r>
      <w:proofErr w:type="spellStart"/>
      <w:r w:rsidRPr="00067FA8">
        <w:t>e</w:t>
      </w:r>
      <w:proofErr w:type="spellEnd"/>
      <w:r w:rsidRPr="00067FA8">
        <w:t xml:space="preserve"> GLC. As vendas da divisão Mercedes-Benz </w:t>
      </w:r>
      <w:proofErr w:type="spellStart"/>
      <w:r w:rsidRPr="00067FA8">
        <w:t>Cars</w:t>
      </w:r>
      <w:proofErr w:type="spellEnd"/>
      <w:r w:rsidRPr="00067FA8">
        <w:t xml:space="preserve"> atingiram as 463 000 unidades (-8%) no primeiro trimestre, com resultados sólidos em todas as regiões exceto na Ásia. Apesar de um declínio nas vendas do Classe S, o modelo continua o ser o líder incontestado em todas as regiões importantes. </w:t>
      </w:r>
    </w:p>
    <w:p w14:paraId="49121FE7" w14:textId="77777777" w:rsidR="006B5B2C" w:rsidRDefault="006B5B2C" w:rsidP="006B5B2C">
      <w:pPr>
        <w:spacing w:line="240" w:lineRule="auto"/>
        <w:textAlignment w:val="baseline"/>
      </w:pPr>
    </w:p>
    <w:p w14:paraId="3FED6F76" w14:textId="41BEA022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t xml:space="preserve">Em geral, os preços mantiveram-se a um nível elevado no primeiro trimestre. Prevê-se que as vendas aumentem nos próximos trimestres, com o segmento topo de gama a melhorar na segunda metade do ano. A taxa de adoção de veículos elétricos abrandou em toda a indústria. Na transição de veículos com motor de combustão para veículos elétricos a bateria, espera-se que os híbridos plug-in da Mercedes-Benz desempenhem um papel importante. No primeiro trimestre, </w:t>
      </w:r>
      <w:r w:rsidRPr="00067FA8">
        <w:rPr>
          <w:color w:val="000000"/>
        </w:rPr>
        <w:t>a Mercedes-Benz iniciou o BEAT26, um programa de eficiência para reduzir os custos de material no aprovisionamento, em estreita colaboração com os seus fornecedores. </w:t>
      </w:r>
    </w:p>
    <w:p w14:paraId="12D9DBA2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5"/>
        <w:gridCol w:w="960"/>
        <w:gridCol w:w="960"/>
        <w:gridCol w:w="960"/>
      </w:tblGrid>
      <w:tr w:rsidR="006B5B2C" w:rsidRPr="00067FA8" w14:paraId="50051034" w14:textId="77777777" w:rsidTr="00BE6953">
        <w:trPr>
          <w:trHeight w:val="270"/>
        </w:trPr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CBA08E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Veículos Ligeiros Mercedes-Benz 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0DB451A" w14:textId="77777777" w:rsidR="006B5B2C" w:rsidRPr="00067FA8" w:rsidRDefault="006B5B2C" w:rsidP="00BE6953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1T 2024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6F69DEE" w14:textId="77777777" w:rsidR="006B5B2C" w:rsidRPr="00067FA8" w:rsidRDefault="006B5B2C" w:rsidP="00BE6953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1T 2023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15A919" w14:textId="77777777" w:rsidR="006B5B2C" w:rsidRPr="00067FA8" w:rsidRDefault="006B5B2C" w:rsidP="00BE6953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Variação 24/23</w:t>
            </w:r>
            <w:r w:rsidRPr="00067FA8">
              <w:rPr>
                <w:sz w:val="16"/>
              </w:rPr>
              <w:t> </w:t>
            </w:r>
          </w:p>
        </w:tc>
      </w:tr>
      <w:tr w:rsidR="006B5B2C" w:rsidRPr="00067FA8" w14:paraId="0381C8D1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4B78EC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Vendas unitárias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6AF45E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462 978 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2D6CBA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503 483 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B0E65A" w14:textId="575EBBCE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-8,0% </w:t>
            </w:r>
          </w:p>
        </w:tc>
      </w:tr>
      <w:tr w:rsidR="006B5B2C" w:rsidRPr="00067FA8" w14:paraId="7AC27073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019D4B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 xml:space="preserve">de veículos </w:t>
            </w:r>
            <w:proofErr w:type="spellStart"/>
            <w:r w:rsidRPr="00067FA8">
              <w:rPr>
                <w:b/>
                <w:sz w:val="16"/>
              </w:rPr>
              <w:t>xEV</w:t>
            </w:r>
            <w:proofErr w:type="spellEnd"/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FC15E5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90 177 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0CF40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91 698 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7BBB04" w14:textId="6857B456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-1,7% </w:t>
            </w:r>
          </w:p>
        </w:tc>
      </w:tr>
      <w:tr w:rsidR="006B5B2C" w:rsidRPr="00067FA8" w14:paraId="144B7DB4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60F07B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de veículos elétricos a bateria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F6462B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47 521 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EED543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51 639 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7825B5" w14:textId="07AE33AB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-8,0% </w:t>
            </w:r>
          </w:p>
        </w:tc>
      </w:tr>
      <w:tr w:rsidR="006B5B2C" w:rsidRPr="00067FA8" w14:paraId="32A1E904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2219EA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 xml:space="preserve">Quota de </w:t>
            </w:r>
            <w:proofErr w:type="spellStart"/>
            <w:r w:rsidRPr="00067FA8">
              <w:rPr>
                <w:b/>
                <w:sz w:val="16"/>
              </w:rPr>
              <w:t>xEV</w:t>
            </w:r>
            <w:proofErr w:type="spellEnd"/>
            <w:r w:rsidRPr="00067FA8">
              <w:rPr>
                <w:b/>
                <w:sz w:val="16"/>
              </w:rPr>
              <w:t xml:space="preserve"> nas vendas unitárias em %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48F056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19,5 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38F446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18,2 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0003E4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 </w:t>
            </w:r>
          </w:p>
        </w:tc>
      </w:tr>
      <w:tr w:rsidR="006B5B2C" w:rsidRPr="00067FA8" w14:paraId="4976A7CF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751839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Receitas*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2EFE0E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25 713 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D50D2B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27 812 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66F94C" w14:textId="4100D43A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-7,5% </w:t>
            </w:r>
          </w:p>
        </w:tc>
      </w:tr>
      <w:tr w:rsidR="006B5B2C" w:rsidRPr="00067FA8" w14:paraId="5FBC80C1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1089D0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Resultados antes de juros e impostos (EBIT)*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83D3B1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2456 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5D130E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4148 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B0CD2F" w14:textId="57DA9C3F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-40,8% </w:t>
            </w:r>
          </w:p>
        </w:tc>
      </w:tr>
      <w:tr w:rsidR="006B5B2C" w:rsidRPr="00067FA8" w14:paraId="14824623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A44F8B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Resultados antes de juros e impostos (EBIT) ajustados*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8C62C3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2323 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B58F75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4113 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4D5352" w14:textId="78A8FB4B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-43,5% </w:t>
            </w:r>
          </w:p>
        </w:tc>
      </w:tr>
      <w:tr w:rsidR="006B5B2C" w:rsidRPr="00067FA8" w14:paraId="2B3F99AC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C95BEB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Retorno de vendas em %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D830D9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9,6 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D6AC94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14,9 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A788FF" w14:textId="05BD675B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-5,3% </w:t>
            </w:r>
          </w:p>
        </w:tc>
      </w:tr>
      <w:tr w:rsidR="006B5B2C" w:rsidRPr="00067FA8" w14:paraId="36BB8C3E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F718DA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Retorno de vendas ajustado em %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8133F8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9,0 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B38397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14,8 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CC112C" w14:textId="4E32D251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-5,8% </w:t>
            </w:r>
          </w:p>
        </w:tc>
      </w:tr>
      <w:tr w:rsidR="006B5B2C" w:rsidRPr="00067FA8" w14:paraId="350A218C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FFF665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Fluxo de caixa livre antes de juros e impostos (CFBIT)*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9C72A9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2297 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E77B70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2981 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773A72" w14:textId="0EBB597A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-22,9% </w:t>
            </w:r>
          </w:p>
        </w:tc>
      </w:tr>
      <w:tr w:rsidR="006B5B2C" w:rsidRPr="00067FA8" w14:paraId="1D252D99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B5D4B2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lastRenderedPageBreak/>
              <w:t>Fluxo de caixa livre antes de juros e impostos (CFBIT) ajustado* 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AD8C87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2341 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F4E50B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3020 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03B436" w14:textId="44644DF3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-22,5% </w:t>
            </w:r>
          </w:p>
        </w:tc>
      </w:tr>
      <w:tr w:rsidR="006B5B2C" w:rsidRPr="00067FA8" w14:paraId="19B0F419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52FFFA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Taxa de conversão de caixa ajustada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32F8E8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1,0 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83A304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sz w:val="16"/>
              </w:rPr>
              <w:t>0,7 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1195EA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 </w:t>
            </w:r>
          </w:p>
        </w:tc>
      </w:tr>
    </w:tbl>
    <w:p w14:paraId="34911E80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  <w:sz w:val="16"/>
        </w:rPr>
        <w:t>* em milhões de euros </w:t>
      </w:r>
    </w:p>
    <w:p w14:paraId="3E4BEFEA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t> </w:t>
      </w:r>
    </w:p>
    <w:p w14:paraId="023FAE91" w14:textId="0FBF2F98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t xml:space="preserve">A divisão </w:t>
      </w:r>
      <w:r w:rsidRPr="00067FA8">
        <w:rPr>
          <w:rFonts w:asciiTheme="minorHAnsi" w:eastAsiaTheme="minorEastAsia" w:hAnsiTheme="minorHAnsi"/>
        </w:rPr>
        <w:t>Mercedes-Benz Vans</w:t>
      </w:r>
      <w:r w:rsidRPr="00067FA8">
        <w:t xml:space="preserve"> registou um forte início de ano com preços líquidos saudáveis, apoiados por uma forte substância de produto que conduziu a resultados financeiros muito bons. O retorno de vendas ajustado da divisão Mercedes-Benz Vans subiu para 16,3% (1T 2023: 15,6%) graças ao aumento das vendas globais (+7%), impulsionado pela estrutura positiva dos produtos, especialmente dos comerciais ligeiros (+11%). Os importantes mercados da China (+27%) e dos Estados Unidos (+15%) contribuíram para as fortes vendas do primeiro trimestre. A receita aumentou 6 % para 4,9 mil milhões de euros (1T 2023: 4,6 mil milhões de euros) no primeiro trimestre e os resultados antes de juros e impostos aumentaram 22 % para 933 milhões de euros (1T 2023: 762 milhões de euros). As vendas de veículos elétricos diminuíram, mas espera-se que aumentem com a disponibilidade total dos </w:t>
      </w:r>
      <w:proofErr w:type="spellStart"/>
      <w:r w:rsidRPr="00067FA8">
        <w:t>facelifts</w:t>
      </w:r>
      <w:proofErr w:type="spellEnd"/>
      <w:r w:rsidRPr="00067FA8">
        <w:t xml:space="preserve"> recém-lançados do EQV, </w:t>
      </w:r>
      <w:proofErr w:type="spellStart"/>
      <w:r w:rsidRPr="00067FA8">
        <w:t>eVito</w:t>
      </w:r>
      <w:proofErr w:type="spellEnd"/>
      <w:r w:rsidRPr="00067FA8">
        <w:t xml:space="preserve"> e do novo </w:t>
      </w:r>
      <w:proofErr w:type="spellStart"/>
      <w:r w:rsidRPr="00067FA8">
        <w:t>eSprinter</w:t>
      </w:r>
      <w:proofErr w:type="spellEnd"/>
      <w:r w:rsidRPr="00067FA8">
        <w:t>.  </w:t>
      </w:r>
    </w:p>
    <w:p w14:paraId="601899E2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2AD46F90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5"/>
        <w:gridCol w:w="960"/>
        <w:gridCol w:w="960"/>
        <w:gridCol w:w="960"/>
      </w:tblGrid>
      <w:tr w:rsidR="006B5B2C" w:rsidRPr="00067FA8" w14:paraId="04A5312E" w14:textId="77777777" w:rsidTr="00BE6953">
        <w:trPr>
          <w:trHeight w:val="270"/>
        </w:trPr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C8A67A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Mercedes-Benz Vans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6A774E1" w14:textId="77777777" w:rsidR="006B5B2C" w:rsidRPr="00067FA8" w:rsidRDefault="006B5B2C" w:rsidP="00BE6953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1T 2024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13BBE6B" w14:textId="77777777" w:rsidR="006B5B2C" w:rsidRPr="00067FA8" w:rsidRDefault="006B5B2C" w:rsidP="00BE6953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1T 2023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04F12E" w14:textId="77777777" w:rsidR="006B5B2C" w:rsidRPr="00067FA8" w:rsidRDefault="006B5B2C" w:rsidP="00BE6953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Variação 24/23</w:t>
            </w:r>
            <w:r w:rsidRPr="00067FA8">
              <w:rPr>
                <w:sz w:val="16"/>
              </w:rPr>
              <w:t> </w:t>
            </w:r>
          </w:p>
        </w:tc>
      </w:tr>
      <w:tr w:rsidR="006B5B2C" w:rsidRPr="00067FA8" w14:paraId="28188A7A" w14:textId="77777777" w:rsidTr="00BE6953">
        <w:trPr>
          <w:trHeight w:val="270"/>
        </w:trPr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5C5F6B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Vendas unitárias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C55E12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105 425 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B695FA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98 885 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A495ED" w14:textId="570F38B2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+6,6% </w:t>
            </w:r>
          </w:p>
        </w:tc>
      </w:tr>
      <w:tr w:rsidR="006B5B2C" w:rsidRPr="00067FA8" w14:paraId="3DE5F8C9" w14:textId="77777777" w:rsidTr="00BE6953">
        <w:trPr>
          <w:trHeight w:val="270"/>
        </w:trPr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853AF1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 xml:space="preserve">Quota de </w:t>
            </w:r>
            <w:proofErr w:type="spellStart"/>
            <w:r w:rsidRPr="00067FA8">
              <w:rPr>
                <w:b/>
                <w:sz w:val="16"/>
              </w:rPr>
              <w:t>xEV</w:t>
            </w:r>
            <w:proofErr w:type="spellEnd"/>
            <w:r w:rsidRPr="00067FA8">
              <w:rPr>
                <w:b/>
                <w:sz w:val="16"/>
              </w:rPr>
              <w:t xml:space="preserve"> nas vendas unitárias em %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331A7A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2,8 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B7584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3,6 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280F77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 </w:t>
            </w:r>
          </w:p>
        </w:tc>
      </w:tr>
      <w:tr w:rsidR="006B5B2C" w:rsidRPr="00067FA8" w14:paraId="1290B639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860578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Receitas*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8CAD40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4893 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DF563B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4615 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FBD113" w14:textId="2C3E1B13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+6,0% </w:t>
            </w:r>
          </w:p>
        </w:tc>
      </w:tr>
      <w:tr w:rsidR="006B5B2C" w:rsidRPr="00067FA8" w14:paraId="722A9F34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AB66F9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Resultados antes de juros e impostos (EBIT)*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9A361F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933 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1B3109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762 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34DDB7" w14:textId="65A1742D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+22,4% </w:t>
            </w:r>
          </w:p>
        </w:tc>
      </w:tr>
      <w:tr w:rsidR="006B5B2C" w:rsidRPr="00067FA8" w14:paraId="0706E47E" w14:textId="77777777" w:rsidTr="00BE6953">
        <w:trPr>
          <w:trHeight w:val="285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2A730B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Resultados antes de juros e impostos (EBIT) ajustados*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8C4F3A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800 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C842EF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719 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BC7CA8" w14:textId="7DF2DF1A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+11,3% </w:t>
            </w:r>
          </w:p>
        </w:tc>
      </w:tr>
      <w:tr w:rsidR="006B5B2C" w:rsidRPr="00067FA8" w14:paraId="74126A5D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7876BD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Retorno de vendas em %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6FF6A4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19,1 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55E472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16,5 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29AE59" w14:textId="6965D2D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+2,6% </w:t>
            </w:r>
          </w:p>
        </w:tc>
      </w:tr>
      <w:tr w:rsidR="006B5B2C" w:rsidRPr="00067FA8" w14:paraId="5203EB44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87706B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Retorno de vendas ajustado em %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F06B73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16,3 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56E58E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15,6 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B16888" w14:textId="02567F9D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+0,7% </w:t>
            </w:r>
          </w:p>
        </w:tc>
      </w:tr>
      <w:tr w:rsidR="006B5B2C" w:rsidRPr="00067FA8" w14:paraId="5FBA1086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6582F1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Fluxo de caixa livre antes de juros e impostos (CFBIT)*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5D3F55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643 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534306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410 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3EF7EC" w14:textId="4B6A670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+56,8% </w:t>
            </w:r>
          </w:p>
        </w:tc>
      </w:tr>
      <w:tr w:rsidR="006B5B2C" w:rsidRPr="00067FA8" w14:paraId="4EF1D366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18D766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Fluxo de caixa livre antes de juros e impostos (CFBIT) ajustado* 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0C1B0D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688 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76A800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450 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17ED27" w14:textId="4BFF4BD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+52,9% </w:t>
            </w:r>
          </w:p>
        </w:tc>
      </w:tr>
      <w:tr w:rsidR="006B5B2C" w:rsidRPr="00067FA8" w14:paraId="2E63A361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47CEEA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Taxa de conversão de caixa ajustada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D9BF34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0,9 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88D95A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0,6 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0712A8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 </w:t>
            </w:r>
          </w:p>
        </w:tc>
      </w:tr>
    </w:tbl>
    <w:p w14:paraId="3F7F8CBE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  <w:sz w:val="16"/>
        </w:rPr>
        <w:t>* em milhões de euros </w:t>
      </w:r>
    </w:p>
    <w:p w14:paraId="1B4719F6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t> </w:t>
      </w:r>
    </w:p>
    <w:p w14:paraId="11BBAA0B" w14:textId="1C0D4ED9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t xml:space="preserve">Comparativamente ao primeiro trimestre do ano transato, a </w:t>
      </w:r>
      <w:r w:rsidRPr="00067FA8">
        <w:rPr>
          <w:rFonts w:asciiTheme="minorHAnsi" w:eastAsiaTheme="minorEastAsia" w:hAnsiTheme="minorHAnsi"/>
        </w:rPr>
        <w:t xml:space="preserve">Mercedes-Benz </w:t>
      </w:r>
      <w:proofErr w:type="spellStart"/>
      <w:r w:rsidRPr="00067FA8">
        <w:rPr>
          <w:rFonts w:asciiTheme="minorHAnsi" w:eastAsiaTheme="minorEastAsia" w:hAnsiTheme="minorHAnsi"/>
        </w:rPr>
        <w:t>Mobility</w:t>
      </w:r>
      <w:proofErr w:type="spellEnd"/>
      <w:r w:rsidRPr="00067FA8">
        <w:t xml:space="preserve"> quase duplicou o volume de novos contratos de veículos elétricos a bateria para 2,0 mil milhões de euros (1T 2023: 1,2 mil milhões de euros). Em geral, no final de março de 2024, o volume de contratos atingiu os 134.7 mil milhões de euros, ficando ao mesmo nível do final do ano de 2023 (ano fiscal de 2023: 135,0 mil milhões de euros). Com 14,8 mil milhões de euros, os novos contratos da Mercedes-Benz </w:t>
      </w:r>
      <w:proofErr w:type="spellStart"/>
      <w:r w:rsidRPr="00067FA8">
        <w:t>Mobility</w:t>
      </w:r>
      <w:proofErr w:type="spellEnd"/>
      <w:r w:rsidRPr="00067FA8">
        <w:t xml:space="preserve"> também ficaram ao nível do ano transato (1T 2023: 14,7 mil milhões de euros). Os resultados antes de juros e impostos diminuíram para 279 milhões de euros principalmente devido a uma margem de juros mais baixa e a um custo mais elevado do risco de crédito (1T 2023: 539 milhões de euros). Como resultado, o retorno de capital ajustado diminuiu para 8,5 % (1T 2023: 15,6%). </w:t>
      </w:r>
    </w:p>
    <w:p w14:paraId="677719E5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5"/>
        <w:gridCol w:w="960"/>
        <w:gridCol w:w="960"/>
        <w:gridCol w:w="960"/>
      </w:tblGrid>
      <w:tr w:rsidR="006B5B2C" w:rsidRPr="00067FA8" w14:paraId="13A7C324" w14:textId="77777777" w:rsidTr="00BE6953">
        <w:trPr>
          <w:trHeight w:val="270"/>
        </w:trPr>
        <w:tc>
          <w:tcPr>
            <w:tcW w:w="4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296558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 xml:space="preserve">Mercedes-Benz </w:t>
            </w:r>
            <w:proofErr w:type="spellStart"/>
            <w:r w:rsidRPr="00067FA8">
              <w:rPr>
                <w:b/>
                <w:sz w:val="16"/>
              </w:rPr>
              <w:t>Mobility</w:t>
            </w:r>
            <w:proofErr w:type="spellEnd"/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221C42C" w14:textId="77777777" w:rsidR="006B5B2C" w:rsidRPr="00067FA8" w:rsidRDefault="006B5B2C" w:rsidP="00BE6953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1T 2024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46FB8B4" w14:textId="77777777" w:rsidR="006B5B2C" w:rsidRPr="00067FA8" w:rsidRDefault="006B5B2C" w:rsidP="00BE6953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1T 2023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0DC0BB" w14:textId="77777777" w:rsidR="006B5B2C" w:rsidRPr="00067FA8" w:rsidRDefault="006B5B2C" w:rsidP="00BE6953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Variação 24/23</w:t>
            </w:r>
            <w:r w:rsidRPr="00067FA8">
              <w:rPr>
                <w:sz w:val="16"/>
              </w:rPr>
              <w:t> </w:t>
            </w:r>
          </w:p>
        </w:tc>
      </w:tr>
      <w:tr w:rsidR="006B5B2C" w:rsidRPr="00067FA8" w14:paraId="0AA07A86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F603A3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Receitas*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F64999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6855 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25411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6639 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0FCFB7" w14:textId="4596A935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+3,3% </w:t>
            </w:r>
          </w:p>
        </w:tc>
      </w:tr>
      <w:tr w:rsidR="006B5B2C" w:rsidRPr="00067FA8" w14:paraId="5B24AC7F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890E64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Novas vendas*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F9F682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14 750 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72AD71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14 701 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74CE8C" w14:textId="3FE62FF2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+0,3% </w:t>
            </w:r>
          </w:p>
        </w:tc>
      </w:tr>
      <w:tr w:rsidR="006B5B2C" w:rsidRPr="00067FA8" w14:paraId="6DE9B679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FA6399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 xml:space="preserve">Volume de contratos (31 de </w:t>
            </w:r>
            <w:proofErr w:type="gramStart"/>
            <w:r w:rsidRPr="00067FA8">
              <w:rPr>
                <w:b/>
                <w:sz w:val="16"/>
              </w:rPr>
              <w:t>março)*</w:t>
            </w:r>
            <w:proofErr w:type="gramEnd"/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CBA7CB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134 672 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F0EDF7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131 267 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E5E0B0" w14:textId="7CCA1AA5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+2,6% </w:t>
            </w:r>
          </w:p>
        </w:tc>
      </w:tr>
      <w:tr w:rsidR="006B5B2C" w:rsidRPr="00067FA8" w14:paraId="0C19DFAF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0A276F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Resultados antes de juros e impostos (EBIT)*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97A152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279 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149203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539 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328B60" w14:textId="706D33EF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-48,2% </w:t>
            </w:r>
          </w:p>
        </w:tc>
      </w:tr>
      <w:tr w:rsidR="006B5B2C" w:rsidRPr="00067FA8" w14:paraId="4AC96BE2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A6EF26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Resultados antes de juros e impostos (EBIT) ajustados*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3175F2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279 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86A965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539 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1D516C" w14:textId="286E4BBD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-48,2% </w:t>
            </w:r>
          </w:p>
        </w:tc>
      </w:tr>
      <w:tr w:rsidR="006B5B2C" w:rsidRPr="00067FA8" w14:paraId="2A2AAD52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3C9A2A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Retorno de capital em %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F307AA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8,5 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79C666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15,6 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BCEF07" w14:textId="2A5C6B80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-7,1% </w:t>
            </w:r>
          </w:p>
        </w:tc>
      </w:tr>
      <w:tr w:rsidR="006B5B2C" w:rsidRPr="00067FA8" w14:paraId="215978CC" w14:textId="77777777" w:rsidTr="00BE6953">
        <w:trPr>
          <w:trHeight w:val="270"/>
        </w:trPr>
        <w:tc>
          <w:tcPr>
            <w:tcW w:w="4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47EB18" w14:textId="77777777" w:rsidR="006B5B2C" w:rsidRPr="00067FA8" w:rsidRDefault="006B5B2C" w:rsidP="00BE6953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b/>
                <w:sz w:val="16"/>
              </w:rPr>
              <w:t>Retorno de capital ajustado em %</w:t>
            </w:r>
            <w:r w:rsidRPr="00067FA8">
              <w:rPr>
                <w:sz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12DC6C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8,5 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9EF9DE" w14:textId="77777777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15,6 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E4A34D" w14:textId="3694DF2C" w:rsidR="006B5B2C" w:rsidRPr="00067FA8" w:rsidRDefault="006B5B2C" w:rsidP="00BE6953">
            <w:pPr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FA8">
              <w:rPr>
                <w:color w:val="000000"/>
                <w:sz w:val="16"/>
              </w:rPr>
              <w:t>-7,1% </w:t>
            </w:r>
          </w:p>
        </w:tc>
      </w:tr>
    </w:tbl>
    <w:p w14:paraId="007BE9F4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  <w:sz w:val="16"/>
        </w:rPr>
        <w:t>* em milhões de euros </w:t>
      </w:r>
    </w:p>
    <w:p w14:paraId="2CCADFD4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t> </w:t>
      </w:r>
    </w:p>
    <w:p w14:paraId="78775519" w14:textId="77777777" w:rsidR="006B5B2C" w:rsidRDefault="006B5B2C" w:rsidP="006B5B2C">
      <w:pPr>
        <w:spacing w:line="240" w:lineRule="auto"/>
        <w:textAlignment w:val="baseline"/>
        <w:rPr>
          <w:rFonts w:ascii="MB Corpo S Text Office" w:hAnsi="MB Corpo S Text Office"/>
        </w:rPr>
      </w:pPr>
    </w:p>
    <w:p w14:paraId="04DD7A95" w14:textId="77777777" w:rsidR="006B5B2C" w:rsidRDefault="006B5B2C" w:rsidP="006B5B2C">
      <w:pPr>
        <w:spacing w:line="240" w:lineRule="auto"/>
        <w:textAlignment w:val="baseline"/>
        <w:rPr>
          <w:rFonts w:ascii="MB Corpo S Text Office" w:hAnsi="MB Corpo S Text Office"/>
        </w:rPr>
      </w:pPr>
    </w:p>
    <w:p w14:paraId="7DF9859B" w14:textId="15089233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rFonts w:ascii="MB Corpo S Text Office" w:hAnsi="MB Corpo S Text Office"/>
        </w:rPr>
        <w:lastRenderedPageBreak/>
        <w:t>Atualização da execução da recompra de ações </w:t>
      </w:r>
    </w:p>
    <w:p w14:paraId="68877C7C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</w:rPr>
        <w:t xml:space="preserve">Em 21 de fevereiro de 2024, a Mercedes-Benz </w:t>
      </w:r>
      <w:proofErr w:type="spellStart"/>
      <w:r w:rsidRPr="00067FA8">
        <w:rPr>
          <w:color w:val="000000"/>
        </w:rPr>
        <w:t>Group</w:t>
      </w:r>
      <w:proofErr w:type="spellEnd"/>
      <w:r w:rsidRPr="00067FA8">
        <w:rPr>
          <w:color w:val="000000"/>
        </w:rPr>
        <w:t xml:space="preserve"> AG decidiu implementar uma política de recompra de ações. Com base nesta política, o fluxo de caixa livre futuro da atividade industrial (disponível após potenciais fusões e aquisições em pequena escala), gerado além do rácio de distribuição de dividendos de cerca de 40 % do rendimento líquido do grupo, será utilizado para financiar a recompra de ações com o objetivo de resgatar ações. No âmbito do programa de recompra anunciado em fevereiro de 2023, a Mercedes-Benz </w:t>
      </w:r>
      <w:proofErr w:type="spellStart"/>
      <w:r w:rsidRPr="00067FA8">
        <w:rPr>
          <w:color w:val="000000"/>
        </w:rPr>
        <w:t>Group</w:t>
      </w:r>
      <w:proofErr w:type="spellEnd"/>
      <w:r w:rsidRPr="00067FA8">
        <w:rPr>
          <w:color w:val="000000"/>
        </w:rPr>
        <w:t xml:space="preserve"> AG pretende adquirir ações próprias até ao valor máximo de </w:t>
      </w:r>
      <w:r w:rsidRPr="00067FA8">
        <w:t>4</w:t>
      </w:r>
      <w:r w:rsidRPr="00067FA8">
        <w:rPr>
          <w:color w:val="FF0000"/>
        </w:rPr>
        <w:t xml:space="preserve"> </w:t>
      </w:r>
      <w:r w:rsidRPr="00067FA8">
        <w:rPr>
          <w:color w:val="000000"/>
        </w:rPr>
        <w:t xml:space="preserve">mil milhões de euros (excluindo despesas acessórias) no mercado de ações e posteriormente cancelá-las. As recompras no âmbito deste programa estão a progredir conforme planeado. Um novo programa de recompra de ações no valor de </w:t>
      </w:r>
      <w:r w:rsidRPr="00067FA8">
        <w:t>3</w:t>
      </w:r>
      <w:r w:rsidRPr="00067FA8">
        <w:rPr>
          <w:color w:val="FF0000"/>
        </w:rPr>
        <w:t xml:space="preserve"> </w:t>
      </w:r>
      <w:r w:rsidRPr="00067FA8">
        <w:rPr>
          <w:color w:val="000000"/>
        </w:rPr>
        <w:t>mil milhões de euros, anunciado em fevereiro de 2024, deverá agora ter início em maio de 2024 e decorrer em paralelo com o programa de recompra anunciado em fevereiro de 2023. Prevê-se que ambos os programas de recompra estejam concluídos no primeiro trimestre de 2025. Até ao terceiro trimestre de 2024, a recompra de ações deverá ter atingido um total de 4 mil milhões de euros e posteriormente 7 mil milhões de euros até ao primeiro trimestre de 2025, antes da Assembleia Geral Anual desse ano. </w:t>
      </w:r>
    </w:p>
    <w:p w14:paraId="30BF9C4E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rFonts w:ascii="Calibri" w:hAnsi="Calibri"/>
        </w:rPr>
        <w:t> </w:t>
      </w:r>
    </w:p>
    <w:p w14:paraId="41DC2E75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rFonts w:ascii="MB Corpo S Text Office" w:hAnsi="MB Corpo S Text Office"/>
        </w:rPr>
        <w:t>Perspetivas </w:t>
      </w:r>
    </w:p>
    <w:p w14:paraId="36EF1B57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</w:rPr>
        <w:t>A situação económica e os mercados automóveis continuam a ser caracterizados por um grau de incerteza. Para além de desenvolvimentos macroeconómicos inesperados, podem surgir incertezas para a economia global e para o desenvolvimento das atividades do Grupo Mercedes-Benz devido a acontecimentos geopolíticos e à política de trocas comerciais.  </w:t>
      </w:r>
    </w:p>
    <w:p w14:paraId="0DF8B479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</w:rPr>
        <w:t> </w:t>
      </w:r>
    </w:p>
    <w:p w14:paraId="19302D99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 w:themeColor="text1"/>
        </w:rPr>
        <w:t xml:space="preserve">A empresa prevê vendas unitárias da divisão </w:t>
      </w:r>
      <w:r w:rsidRPr="00067FA8">
        <w:rPr>
          <w:rFonts w:asciiTheme="minorHAnsi" w:eastAsiaTheme="minorEastAsia" w:hAnsiTheme="minorHAnsi"/>
        </w:rPr>
        <w:t xml:space="preserve">Mercedes-Benz </w:t>
      </w:r>
      <w:proofErr w:type="spellStart"/>
      <w:r w:rsidRPr="00067FA8">
        <w:rPr>
          <w:rFonts w:asciiTheme="minorHAnsi" w:eastAsiaTheme="minorEastAsia" w:hAnsiTheme="minorHAnsi"/>
        </w:rPr>
        <w:t>Cars</w:t>
      </w:r>
      <w:proofErr w:type="spellEnd"/>
      <w:r w:rsidRPr="00067FA8">
        <w:rPr>
          <w:color w:val="000000" w:themeColor="text1"/>
        </w:rPr>
        <w:t xml:space="preserve"> ao nível do ano anterior. Os atuais estrangulamentos de fornecimento estão em vias de diminuir no que diz respeito ao GLC e ao Classe E, esperando-se novas melhorias. Prevê-se que os níveis de vendas no primeiro trimestre atinjam o ponto mais baixo, esperando-se que as vendas unitárias do segundo trimestre sejam melhores. O total de vendas unitárias ainda deverá ficar ao nível do ano anterior, com as vendas do segmento de </w:t>
      </w:r>
      <w:r>
        <w:rPr>
          <w:color w:val="000000" w:themeColor="text1"/>
        </w:rPr>
        <w:t xml:space="preserve">‘’core </w:t>
      </w:r>
      <w:proofErr w:type="spellStart"/>
      <w:r>
        <w:rPr>
          <w:color w:val="000000" w:themeColor="text1"/>
        </w:rPr>
        <w:t>luxury</w:t>
      </w:r>
      <w:proofErr w:type="spellEnd"/>
      <w:r>
        <w:rPr>
          <w:color w:val="000000" w:themeColor="text1"/>
        </w:rPr>
        <w:t>’’</w:t>
      </w:r>
      <w:r w:rsidRPr="00067FA8">
        <w:rPr>
          <w:color w:val="000000" w:themeColor="text1"/>
        </w:rPr>
        <w:t xml:space="preserve"> a beneficiarem do Classe E </w:t>
      </w:r>
      <w:proofErr w:type="spellStart"/>
      <w:r w:rsidRPr="00067FA8">
        <w:rPr>
          <w:color w:val="000000" w:themeColor="text1"/>
        </w:rPr>
        <w:t>e</w:t>
      </w:r>
      <w:proofErr w:type="spellEnd"/>
      <w:r w:rsidRPr="00067FA8">
        <w:rPr>
          <w:color w:val="000000" w:themeColor="text1"/>
        </w:rPr>
        <w:t xml:space="preserve"> do GLC este ano, e as vendas de modelos topo de gama a melhorarem em relação aos níveis do primeiro trimestre, devido à transição de produtos. </w:t>
      </w:r>
    </w:p>
    <w:p w14:paraId="711ED226" w14:textId="77777777" w:rsidR="006B5B2C" w:rsidRDefault="006B5B2C" w:rsidP="006B5B2C">
      <w:pPr>
        <w:spacing w:line="240" w:lineRule="auto"/>
        <w:textAlignment w:val="baseline"/>
        <w:rPr>
          <w:color w:val="000000"/>
        </w:rPr>
      </w:pPr>
    </w:p>
    <w:p w14:paraId="6851FD6D" w14:textId="6F56D463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</w:rPr>
        <w:t>Na Europa em geral, o sentimento mantém-se inalterado.  </w:t>
      </w:r>
    </w:p>
    <w:p w14:paraId="3B5963CF" w14:textId="77777777" w:rsidR="006B5B2C" w:rsidRDefault="006B5B2C" w:rsidP="006B5B2C">
      <w:pPr>
        <w:spacing w:line="240" w:lineRule="auto"/>
        <w:textAlignment w:val="baseline"/>
        <w:rPr>
          <w:color w:val="000000"/>
        </w:rPr>
      </w:pPr>
    </w:p>
    <w:p w14:paraId="73C65568" w14:textId="77777777" w:rsidR="006B5B2C" w:rsidRDefault="006B5B2C" w:rsidP="006B5B2C">
      <w:pPr>
        <w:spacing w:line="240" w:lineRule="auto"/>
        <w:textAlignment w:val="baseline"/>
        <w:rPr>
          <w:color w:val="000000"/>
        </w:rPr>
      </w:pPr>
      <w:r w:rsidRPr="00067FA8">
        <w:rPr>
          <w:color w:val="000000"/>
        </w:rPr>
        <w:t>Na China, a disponibilidade irá melhorar, especialmente para o Classe E. Graças à muito boa aceitação e disponibilidade a nossa atual gama de produtos, o potencial de crescimento deve-se ao portfólio e à disponibilidade. No entanto, a empresa tem uma previsão cautelosa relativamente ao desempenho do mercado global.    </w:t>
      </w:r>
      <w:r w:rsidRPr="00067FA8">
        <w:rPr>
          <w:rFonts w:eastAsia="Times New Roman" w:cs="Segoe UI"/>
          <w:color w:val="000000"/>
          <w:szCs w:val="21"/>
        </w:rPr>
        <w:br/>
      </w:r>
    </w:p>
    <w:p w14:paraId="2C743D4E" w14:textId="4670E321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</w:rPr>
        <w:t>Nos Estados Unidos, observa-se uma dinâmica sólida nas vendas e na procura. Espera-se uma evolução positiva em relação ao ano anterior devido aos SUV e ao GLC em particular.   </w:t>
      </w:r>
    </w:p>
    <w:p w14:paraId="026092BC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</w:rPr>
        <w:t xml:space="preserve">Espera-se que a quota de </w:t>
      </w:r>
      <w:proofErr w:type="spellStart"/>
      <w:r w:rsidRPr="00067FA8">
        <w:rPr>
          <w:color w:val="000000"/>
        </w:rPr>
        <w:t>xEV</w:t>
      </w:r>
      <w:proofErr w:type="spellEnd"/>
      <w:r w:rsidRPr="00067FA8">
        <w:rPr>
          <w:color w:val="000000"/>
        </w:rPr>
        <w:t xml:space="preserve"> se mantenha em cerca de 19 a 21 % das vendas de veículos ligeiros de passageiros novos, mesmo com o fim da produção do modelo </w:t>
      </w:r>
      <w:proofErr w:type="spellStart"/>
      <w:r w:rsidRPr="00067FA8">
        <w:rPr>
          <w:color w:val="000000"/>
        </w:rPr>
        <w:t>smart</w:t>
      </w:r>
      <w:proofErr w:type="spellEnd"/>
      <w:r w:rsidRPr="00067FA8">
        <w:rPr>
          <w:color w:val="000000"/>
        </w:rPr>
        <w:t xml:space="preserve"> </w:t>
      </w:r>
      <w:proofErr w:type="spellStart"/>
      <w:r w:rsidRPr="00067FA8">
        <w:rPr>
          <w:color w:val="000000"/>
        </w:rPr>
        <w:t>fortwo</w:t>
      </w:r>
      <w:proofErr w:type="spellEnd"/>
      <w:r w:rsidRPr="00067FA8">
        <w:rPr>
          <w:color w:val="000000"/>
        </w:rPr>
        <w:t xml:space="preserve"> totalmente elétrico em março. </w:t>
      </w:r>
    </w:p>
    <w:p w14:paraId="2288DBEF" w14:textId="77777777" w:rsidR="006B5B2C" w:rsidRDefault="006B5B2C" w:rsidP="006B5B2C">
      <w:pPr>
        <w:spacing w:line="240" w:lineRule="auto"/>
        <w:textAlignment w:val="baseline"/>
        <w:rPr>
          <w:color w:val="000000"/>
        </w:rPr>
      </w:pPr>
    </w:p>
    <w:p w14:paraId="4DE9EF04" w14:textId="3F14F85D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</w:rPr>
        <w:t>O retorno de vendas ajustado deverá situar-se entre os 10 e os 12 %. Prevê-se um aumento das vendas unitárias nos próximos trimestres e uma melhoria do portfólio de modelos no segundo semestre de 2024. A Mercedes-Benz pretende manter os preços nos níveis atuais.  </w:t>
      </w:r>
    </w:p>
    <w:p w14:paraId="2283598E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</w:rPr>
        <w:t>Registam-se alguns ventos favoráveis nos custos das matérias-primas e prevêem-se novos efeitos negativos nos custos relacionados com a cadeia de abastecimento. Para o ano inteiro, prevê-se um aumento dos custos dos materiais. </w:t>
      </w:r>
    </w:p>
    <w:p w14:paraId="240F52B0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</w:rPr>
        <w:t>As despesas de investigação e desenvolvimento deverão manter-se estáveis. Os investimentos em ativos fixos tangíveis e em equipamento deverão ser significativamente mais elevados.  </w:t>
      </w:r>
    </w:p>
    <w:p w14:paraId="7AE3E2F4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</w:rPr>
        <w:t xml:space="preserve">A taxa de conversão de caixa ajustada da divisão Mercedes-Benz </w:t>
      </w:r>
      <w:proofErr w:type="spellStart"/>
      <w:r w:rsidRPr="00067FA8">
        <w:rPr>
          <w:color w:val="000000"/>
        </w:rPr>
        <w:t>Cars</w:t>
      </w:r>
      <w:proofErr w:type="spellEnd"/>
      <w:r w:rsidRPr="00067FA8">
        <w:rPr>
          <w:color w:val="000000"/>
        </w:rPr>
        <w:t xml:space="preserve"> deve permanecer dentro do intervalo de 0,8 a 1,0. Prevê-se que a geração de caixa continue.  </w:t>
      </w:r>
    </w:p>
    <w:p w14:paraId="1386B39D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</w:rPr>
        <w:t> </w:t>
      </w:r>
    </w:p>
    <w:p w14:paraId="31A54303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 w:themeColor="text1"/>
        </w:rPr>
        <w:lastRenderedPageBreak/>
        <w:t xml:space="preserve">O forte desempenho do primeiro trimestre na divisão </w:t>
      </w:r>
      <w:r w:rsidRPr="00067FA8">
        <w:rPr>
          <w:rFonts w:asciiTheme="minorHAnsi" w:eastAsiaTheme="minorEastAsia" w:hAnsiTheme="minorHAnsi"/>
        </w:rPr>
        <w:t>Mercedes-Benz Vans</w:t>
      </w:r>
      <w:r w:rsidRPr="00067FA8">
        <w:rPr>
          <w:color w:val="000000" w:themeColor="text1"/>
        </w:rPr>
        <w:t xml:space="preserve"> proporciona uma almofada confortável para o resto do ano. A procura do mercado deverá abrandar nos segmentos de comerciais ligeiros particulares e empresariais. Considerando os atuais desenvolvimentos macroeconómicos e as incertezas em relação ao segundo semestre de 2024, espera-se que o retorne de vendas ajustado permaneça no intervalo de 12 a 14 %. As previsões relativas a vendas do ano completo, vendas de </w:t>
      </w:r>
      <w:proofErr w:type="spellStart"/>
      <w:r w:rsidRPr="00067FA8">
        <w:rPr>
          <w:color w:val="000000" w:themeColor="text1"/>
        </w:rPr>
        <w:t>xEV</w:t>
      </w:r>
      <w:proofErr w:type="spellEnd"/>
      <w:r w:rsidRPr="00067FA8">
        <w:rPr>
          <w:color w:val="000000" w:themeColor="text1"/>
        </w:rPr>
        <w:t>, pesquisa e desenvolvimento, bem como investimento em propriedades, instalações e equipamentos, permanecem inalteradas. A taxa de conversão de caixa ajustada da divisão Mercedes-Benz Vans deverá manter-se entre 0,6 e 0,8. </w:t>
      </w:r>
    </w:p>
    <w:p w14:paraId="2C088DAD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</w:rPr>
        <w:t> </w:t>
      </w:r>
    </w:p>
    <w:p w14:paraId="5F2FF98A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 w:themeColor="text1"/>
        </w:rPr>
        <w:t xml:space="preserve">O retorno de capital ajustado da </w:t>
      </w:r>
      <w:r w:rsidRPr="00067FA8">
        <w:rPr>
          <w:rFonts w:asciiTheme="minorHAnsi" w:eastAsiaTheme="minorEastAsia" w:hAnsiTheme="minorHAnsi"/>
        </w:rPr>
        <w:t xml:space="preserve">Mercedes-Benz </w:t>
      </w:r>
      <w:proofErr w:type="spellStart"/>
      <w:r w:rsidRPr="00067FA8">
        <w:rPr>
          <w:rFonts w:asciiTheme="minorHAnsi" w:eastAsiaTheme="minorEastAsia" w:hAnsiTheme="minorHAnsi"/>
        </w:rPr>
        <w:t>Mobility</w:t>
      </w:r>
      <w:proofErr w:type="spellEnd"/>
      <w:r w:rsidRPr="00067FA8">
        <w:rPr>
          <w:rFonts w:asciiTheme="minorHAnsi" w:eastAsiaTheme="minorEastAsia" w:hAnsiTheme="minorHAnsi"/>
        </w:rPr>
        <w:t xml:space="preserve"> </w:t>
      </w:r>
      <w:r w:rsidRPr="00067FA8">
        <w:rPr>
          <w:color w:val="000000" w:themeColor="text1"/>
        </w:rPr>
        <w:t>deverá manter-se inalterado entre os 10 e os 12 %. O primeiro trimestre deverá ser o ponto mais baixo, com melhorias esperadas para o segundo semestre de 2024, apesar do aumento dos custos de desenvolvimento da infraestrutura de carregamento. Após um retorno de vendas ajustado de 8,5 % no primeiro trimestre, esperam-se efeitos positivos do aumento das margens de aquisição sobre a margem do portfólio. O custo do risco de crédito deverá melhorar em relação aos níveis do primeiro trimestre, mas deve situar-se a um nível geral mais elevado em comparação com 2023.   </w:t>
      </w:r>
    </w:p>
    <w:p w14:paraId="4E851F37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/>
        </w:rPr>
        <w:t> </w:t>
      </w:r>
    </w:p>
    <w:p w14:paraId="640B5306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color w:val="000000" w:themeColor="text1"/>
        </w:rPr>
        <w:t xml:space="preserve">O </w:t>
      </w:r>
      <w:r w:rsidRPr="00067FA8">
        <w:rPr>
          <w:rFonts w:asciiTheme="minorHAnsi" w:eastAsiaTheme="minorEastAsia" w:hAnsiTheme="minorHAnsi"/>
        </w:rPr>
        <w:t>Grupo Mercedes-Benz</w:t>
      </w:r>
      <w:r w:rsidRPr="00067FA8">
        <w:rPr>
          <w:color w:val="000000" w:themeColor="text1"/>
        </w:rPr>
        <w:t xml:space="preserve"> confirma as suas previsões. Espera-se que a receita do Grupo em 2024 permaneça ao nível do ano anterior, com as divisões </w:t>
      </w:r>
      <w:proofErr w:type="spellStart"/>
      <w:r w:rsidRPr="00067FA8">
        <w:rPr>
          <w:color w:val="000000" w:themeColor="text1"/>
        </w:rPr>
        <w:t>Cars</w:t>
      </w:r>
      <w:proofErr w:type="spellEnd"/>
      <w:r w:rsidRPr="00067FA8">
        <w:rPr>
          <w:color w:val="000000" w:themeColor="text1"/>
        </w:rPr>
        <w:t xml:space="preserve">, Vans e </w:t>
      </w:r>
      <w:proofErr w:type="spellStart"/>
      <w:r w:rsidRPr="00067FA8">
        <w:rPr>
          <w:color w:val="000000" w:themeColor="text1"/>
        </w:rPr>
        <w:t>Mobility</w:t>
      </w:r>
      <w:proofErr w:type="spellEnd"/>
      <w:r w:rsidRPr="00067FA8">
        <w:rPr>
          <w:color w:val="000000" w:themeColor="text1"/>
        </w:rPr>
        <w:t xml:space="preserve"> a ficarem inalteradas a este respeito. Espera-se que os resultados antes de juros e impostos do Grupo seja ligeiramente inferior ao nível de 2023, resultantes das previsões por divisões. O fluxo de caixa livre da atividade industrial do Grupo deverá situar-se ligeiramente inferior ao do nível extremamente forte de 2023, devido a um menor EBIT nas divisões de veículos ligeiros de passageiros e de comerciais ligeiros, e a uma menor taxa de conversão de caixa na divisão de comerciais ligeiros. </w:t>
      </w:r>
    </w:p>
    <w:p w14:paraId="217D096A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t> </w:t>
      </w:r>
    </w:p>
    <w:p w14:paraId="54DEE120" w14:textId="38E96170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color w:val="000000"/>
        </w:rPr>
        <w:t>Link</w:t>
      </w:r>
      <w:r w:rsidRPr="00067FA8">
        <w:rPr>
          <w:color w:val="000000"/>
        </w:rPr>
        <w:t xml:space="preserve"> para o comunicado de imprensa “Vendas do 1T de 2024”: </w:t>
      </w:r>
      <w:hyperlink r:id="rId14">
        <w:r w:rsidRPr="00067FA8">
          <w:rPr>
            <w:color w:val="0563C1"/>
            <w:u w:val="single"/>
          </w:rPr>
          <w:t>media.mercedes-benz.com/sales</w:t>
        </w:r>
      </w:hyperlink>
      <w:r w:rsidRPr="00067FA8">
        <w:t> </w:t>
      </w:r>
    </w:p>
    <w:p w14:paraId="056F7C9E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rFonts w:ascii="MB Corpo S Text Office" w:hAnsi="MB Corpo S Text Office"/>
        </w:rPr>
        <w:t> </w:t>
      </w:r>
    </w:p>
    <w:p w14:paraId="210C73C5" w14:textId="4C4CF30C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color w:val="000000"/>
        </w:rPr>
        <w:t>Link</w:t>
      </w:r>
      <w:r w:rsidRPr="00067FA8">
        <w:rPr>
          <w:color w:val="000000"/>
        </w:rPr>
        <w:t xml:space="preserve"> para a apresentação do 1T de 2024 aos mercados de capitais: </w:t>
      </w:r>
      <w:hyperlink r:id="rId15">
        <w:r w:rsidRPr="00067FA8">
          <w:rPr>
            <w:color w:val="0563C1"/>
            <w:u w:val="single"/>
          </w:rPr>
          <w:t>group.mercedes-benz.com/q1-2024/</w:t>
        </w:r>
        <w:proofErr w:type="spellStart"/>
        <w:r w:rsidRPr="00067FA8">
          <w:rPr>
            <w:color w:val="0563C1"/>
            <w:u w:val="single"/>
          </w:rPr>
          <w:t>en</w:t>
        </w:r>
        <w:proofErr w:type="spellEnd"/>
      </w:hyperlink>
      <w:r w:rsidRPr="00067FA8">
        <w:rPr>
          <w:rFonts w:ascii="MB Corpo S Text Office" w:hAnsi="MB Corpo S Text Office"/>
          <w:color w:val="000000"/>
        </w:rPr>
        <w:t> </w:t>
      </w:r>
    </w:p>
    <w:p w14:paraId="75C21325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rFonts w:ascii="MB Corpo S Text Office" w:hAnsi="MB Corpo S Text Office"/>
        </w:rPr>
        <w:t> </w:t>
      </w:r>
    </w:p>
    <w:p w14:paraId="316576B1" w14:textId="77777777" w:rsidR="006B5B2C" w:rsidRPr="00067FA8" w:rsidRDefault="006B5B2C" w:rsidP="006B5B2C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67FA8">
        <w:rPr>
          <w:sz w:val="16"/>
          <w:vertAlign w:val="superscript"/>
        </w:rPr>
        <w:t>[1]</w:t>
      </w:r>
      <w:r w:rsidRPr="00067FA8">
        <w:rPr>
          <w:color w:val="000000"/>
        </w:rPr>
        <w:t xml:space="preserve"> O novo Mercedes-Benz G 580 com tecnologia EQ (consumo de energia em ciclo combinado: 30,3-27,7 kWh/100 km | emissões de CO₂ em ciclo combinado: 0 g/km | classe de emissões de CO₂: A). Os valores indicados foram determinados de acordo com o método de medição WLTP (</w:t>
      </w:r>
      <w:proofErr w:type="spellStart"/>
      <w:r w:rsidRPr="00067FA8">
        <w:rPr>
          <w:color w:val="000000"/>
        </w:rPr>
        <w:t>Worldwide</w:t>
      </w:r>
      <w:proofErr w:type="spellEnd"/>
      <w:r w:rsidRPr="00067FA8">
        <w:rPr>
          <w:color w:val="000000"/>
        </w:rPr>
        <w:t xml:space="preserve"> </w:t>
      </w:r>
      <w:proofErr w:type="spellStart"/>
      <w:r w:rsidRPr="00067FA8">
        <w:rPr>
          <w:color w:val="000000"/>
        </w:rPr>
        <w:t>harmonised</w:t>
      </w:r>
      <w:proofErr w:type="spellEnd"/>
      <w:r w:rsidRPr="00067FA8">
        <w:rPr>
          <w:color w:val="000000"/>
        </w:rPr>
        <w:t xml:space="preserve"> Light </w:t>
      </w:r>
      <w:proofErr w:type="spellStart"/>
      <w:r w:rsidRPr="00067FA8">
        <w:rPr>
          <w:color w:val="000000"/>
        </w:rPr>
        <w:t>vehicles</w:t>
      </w:r>
      <w:proofErr w:type="spellEnd"/>
      <w:r w:rsidRPr="00067FA8">
        <w:rPr>
          <w:color w:val="000000"/>
        </w:rPr>
        <w:t xml:space="preserve"> </w:t>
      </w:r>
      <w:proofErr w:type="spellStart"/>
      <w:r w:rsidRPr="00067FA8">
        <w:rPr>
          <w:color w:val="000000"/>
        </w:rPr>
        <w:t>Test</w:t>
      </w:r>
      <w:proofErr w:type="spellEnd"/>
      <w:r w:rsidRPr="00067FA8">
        <w:rPr>
          <w:color w:val="000000"/>
        </w:rPr>
        <w:t xml:space="preserve"> </w:t>
      </w:r>
      <w:proofErr w:type="spellStart"/>
      <w:r w:rsidRPr="00067FA8">
        <w:rPr>
          <w:color w:val="000000"/>
        </w:rPr>
        <w:t>Procedure</w:t>
      </w:r>
      <w:proofErr w:type="spellEnd"/>
      <w:r w:rsidRPr="00067FA8">
        <w:rPr>
          <w:color w:val="000000"/>
        </w:rPr>
        <w:t>). A autonomia indicada refere-se aos mercados da União Europeia. O consumo de energia e as emissões de CO₂ de um veículo dependem não só da utilização eficiente do combustível ou da fonte de energia pelo veículo, mas também do estilo de condução e de outros fatores não técnicos. </w:t>
      </w:r>
    </w:p>
    <w:p w14:paraId="1C872EB5" w14:textId="77777777" w:rsidR="006B5B2C" w:rsidRPr="00067FA8" w:rsidRDefault="006B5B2C" w:rsidP="006B5B2C">
      <w:pPr>
        <w:pStyle w:val="02Copytextbold"/>
      </w:pPr>
    </w:p>
    <w:p w14:paraId="09179765" w14:textId="77777777" w:rsidR="006B5B2C" w:rsidRPr="00067FA8" w:rsidRDefault="006B5B2C" w:rsidP="006B5B2C">
      <w:pPr>
        <w:pStyle w:val="02Copytextbold"/>
      </w:pPr>
    </w:p>
    <w:p w14:paraId="6917B5A9" w14:textId="77777777" w:rsidR="006B5B2C" w:rsidRPr="00067FA8" w:rsidRDefault="006B5B2C" w:rsidP="006B5B2C">
      <w:pPr>
        <w:pStyle w:val="02Copytextbold"/>
      </w:pPr>
    </w:p>
    <w:p w14:paraId="4DA10888" w14:textId="77777777" w:rsidR="006B5B2C" w:rsidRPr="00067FA8" w:rsidRDefault="006B5B2C" w:rsidP="006B5B2C">
      <w:pPr>
        <w:pStyle w:val="02Copytextbold"/>
      </w:pPr>
    </w:p>
    <w:p w14:paraId="35D13814" w14:textId="77777777" w:rsidR="006B5B2C" w:rsidRPr="00067FA8" w:rsidRDefault="006B5B2C" w:rsidP="006B5B2C">
      <w:pPr>
        <w:pStyle w:val="01Flietext"/>
      </w:pPr>
    </w:p>
    <w:p w14:paraId="74E5CB6F" w14:textId="77777777" w:rsidR="00414CAD" w:rsidRDefault="00414CAD" w:rsidP="006B5B2C">
      <w:pPr>
        <w:pStyle w:val="01Flietext"/>
      </w:pPr>
    </w:p>
    <w:sectPr w:rsidR="00414CAD" w:rsidSect="00D06ACA"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729F" w14:textId="77777777" w:rsidR="00710DF4" w:rsidRPr="00E675DA" w:rsidRDefault="00710DF4" w:rsidP="00764B8C">
      <w:pPr>
        <w:spacing w:line="240" w:lineRule="auto"/>
      </w:pPr>
      <w:r w:rsidRPr="00E675DA">
        <w:separator/>
      </w:r>
    </w:p>
  </w:endnote>
  <w:endnote w:type="continuationSeparator" w:id="0">
    <w:p w14:paraId="53BD172D" w14:textId="77777777" w:rsidR="00710DF4" w:rsidRPr="00E675DA" w:rsidRDefault="00710DF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3555" w14:textId="77777777" w:rsidR="009C681E" w:rsidRDefault="009C6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467F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58066E3F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2DA8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670D360F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2E533F5" wp14:editId="4E07099B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863B5" wp14:editId="7FE6263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A6FA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27A10">
      <w:rPr>
        <w:rStyle w:val="PageNumber"/>
      </w:rPr>
      <w:t>4</w:t>
    </w:r>
    <w:r w:rsidRPr="0033780C">
      <w:rPr>
        <w:rStyle w:val="PageNumber"/>
      </w:rPr>
      <w:fldChar w:fldCharType="end"/>
    </w:r>
  </w:p>
  <w:p w14:paraId="14CC81D1" w14:textId="77777777" w:rsidR="00053243" w:rsidRDefault="00053243" w:rsidP="00147FA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07BC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492B9A4E" wp14:editId="28CB8FF5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6DD8F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B9A4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1FE6DD8F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245E79E1" wp14:editId="57767857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6F38602" wp14:editId="7768E3D9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DF9F60B" wp14:editId="4960C15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588F" w14:textId="77777777" w:rsidR="00710DF4" w:rsidRPr="00E675DA" w:rsidRDefault="00710DF4" w:rsidP="00764B8C">
      <w:pPr>
        <w:spacing w:line="240" w:lineRule="auto"/>
      </w:pPr>
      <w:r w:rsidRPr="00E675DA">
        <w:separator/>
      </w:r>
    </w:p>
  </w:footnote>
  <w:footnote w:type="continuationSeparator" w:id="0">
    <w:p w14:paraId="046EA896" w14:textId="77777777" w:rsidR="00710DF4" w:rsidRPr="00E675DA" w:rsidRDefault="00710DF4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C047" w14:textId="77777777" w:rsidR="009C681E" w:rsidRDefault="009C68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4AF3" w14:textId="77777777" w:rsidR="008D0BE1" w:rsidRDefault="008D0B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05FE" w14:textId="77777777" w:rsidR="00ED0B7F" w:rsidRPr="00BE7AC7" w:rsidRDefault="00ED0B7F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AB0B588" wp14:editId="2830E45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76B4D7CF" wp14:editId="12C82A3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44AD66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2408704D" wp14:editId="72C8F829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E0D0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3B55EC5E" wp14:editId="6A59B5E0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EA34984" wp14:editId="2947F916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8D3FD2"/>
    <w:multiLevelType w:val="hybridMultilevel"/>
    <w:tmpl w:val="5A862D98"/>
    <w:lvl w:ilvl="0" w:tplc="E1D656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880E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02297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80E23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714A5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36C7C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2E6FB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93CC2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19E8E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B07093"/>
    <w:multiLevelType w:val="hybridMultilevel"/>
    <w:tmpl w:val="31D8B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2457EC"/>
    <w:multiLevelType w:val="hybridMultilevel"/>
    <w:tmpl w:val="213E93F2"/>
    <w:lvl w:ilvl="0" w:tplc="B156E40C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4" w15:restartNumberingAfterBreak="0">
    <w:nsid w:val="60782BCF"/>
    <w:multiLevelType w:val="hybridMultilevel"/>
    <w:tmpl w:val="4ED80884"/>
    <w:lvl w:ilvl="0" w:tplc="7E2CFD62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C3482"/>
    <w:multiLevelType w:val="multilevel"/>
    <w:tmpl w:val="36968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540373">
    <w:abstractNumId w:val="9"/>
  </w:num>
  <w:num w:numId="2" w16cid:durableId="1249540399">
    <w:abstractNumId w:val="8"/>
  </w:num>
  <w:num w:numId="3" w16cid:durableId="1318339977">
    <w:abstractNumId w:val="7"/>
  </w:num>
  <w:num w:numId="4" w16cid:durableId="422990412">
    <w:abstractNumId w:val="6"/>
  </w:num>
  <w:num w:numId="5" w16cid:durableId="681081889">
    <w:abstractNumId w:val="5"/>
  </w:num>
  <w:num w:numId="6" w16cid:durableId="1130123269">
    <w:abstractNumId w:val="4"/>
  </w:num>
  <w:num w:numId="7" w16cid:durableId="553783285">
    <w:abstractNumId w:val="3"/>
  </w:num>
  <w:num w:numId="8" w16cid:durableId="430471964">
    <w:abstractNumId w:val="2"/>
  </w:num>
  <w:num w:numId="9" w16cid:durableId="601913247">
    <w:abstractNumId w:val="1"/>
  </w:num>
  <w:num w:numId="10" w16cid:durableId="1910994634">
    <w:abstractNumId w:val="0"/>
  </w:num>
  <w:num w:numId="11" w16cid:durableId="556747802">
    <w:abstractNumId w:val="36"/>
  </w:num>
  <w:num w:numId="12" w16cid:durableId="1291281382">
    <w:abstractNumId w:val="10"/>
  </w:num>
  <w:num w:numId="13" w16cid:durableId="1009916771">
    <w:abstractNumId w:val="37"/>
  </w:num>
  <w:num w:numId="14" w16cid:durableId="1926651404">
    <w:abstractNumId w:val="40"/>
  </w:num>
  <w:num w:numId="15" w16cid:durableId="1686326588">
    <w:abstractNumId w:val="16"/>
  </w:num>
  <w:num w:numId="16" w16cid:durableId="1277786756">
    <w:abstractNumId w:val="31"/>
  </w:num>
  <w:num w:numId="17" w16cid:durableId="905997546">
    <w:abstractNumId w:val="29"/>
  </w:num>
  <w:num w:numId="18" w16cid:durableId="914363985">
    <w:abstractNumId w:val="12"/>
  </w:num>
  <w:num w:numId="19" w16cid:durableId="1621692847">
    <w:abstractNumId w:val="33"/>
  </w:num>
  <w:num w:numId="20" w16cid:durableId="766118659">
    <w:abstractNumId w:val="13"/>
  </w:num>
  <w:num w:numId="21" w16cid:durableId="1633516482">
    <w:abstractNumId w:val="17"/>
  </w:num>
  <w:num w:numId="22" w16cid:durableId="835076139">
    <w:abstractNumId w:val="21"/>
  </w:num>
  <w:num w:numId="23" w16cid:durableId="226500085">
    <w:abstractNumId w:val="24"/>
  </w:num>
  <w:num w:numId="24" w16cid:durableId="242180191">
    <w:abstractNumId w:val="38"/>
  </w:num>
  <w:num w:numId="25" w16cid:durableId="189102254">
    <w:abstractNumId w:val="41"/>
  </w:num>
  <w:num w:numId="26" w16cid:durableId="1356224084">
    <w:abstractNumId w:val="14"/>
  </w:num>
  <w:num w:numId="27" w16cid:durableId="1366178035">
    <w:abstractNumId w:val="15"/>
  </w:num>
  <w:num w:numId="28" w16cid:durableId="1897355572">
    <w:abstractNumId w:val="30"/>
  </w:num>
  <w:num w:numId="29" w16cid:durableId="1177961674">
    <w:abstractNumId w:val="11"/>
  </w:num>
  <w:num w:numId="30" w16cid:durableId="674575768">
    <w:abstractNumId w:val="26"/>
  </w:num>
  <w:num w:numId="31" w16cid:durableId="376514968">
    <w:abstractNumId w:val="19"/>
  </w:num>
  <w:num w:numId="32" w16cid:durableId="1025983616">
    <w:abstractNumId w:val="22"/>
  </w:num>
  <w:num w:numId="33" w16cid:durableId="150869964">
    <w:abstractNumId w:val="18"/>
  </w:num>
  <w:num w:numId="34" w16cid:durableId="678502699">
    <w:abstractNumId w:val="28"/>
  </w:num>
  <w:num w:numId="35" w16cid:durableId="503712214">
    <w:abstractNumId w:val="42"/>
  </w:num>
  <w:num w:numId="36" w16cid:durableId="928121553">
    <w:abstractNumId w:val="25"/>
  </w:num>
  <w:num w:numId="37" w16cid:durableId="1638342017">
    <w:abstractNumId w:val="20"/>
  </w:num>
  <w:num w:numId="38" w16cid:durableId="1090539938">
    <w:abstractNumId w:val="35"/>
  </w:num>
  <w:num w:numId="39" w16cid:durableId="849678807">
    <w:abstractNumId w:val="39"/>
  </w:num>
  <w:num w:numId="40" w16cid:durableId="1375934040">
    <w:abstractNumId w:val="20"/>
  </w:num>
  <w:num w:numId="41" w16cid:durableId="1130199639">
    <w:abstractNumId w:val="34"/>
  </w:num>
  <w:num w:numId="42" w16cid:durableId="1891570085">
    <w:abstractNumId w:val="32"/>
  </w:num>
  <w:num w:numId="43" w16cid:durableId="357241032">
    <w:abstractNumId w:val="27"/>
  </w:num>
  <w:num w:numId="44" w16cid:durableId="1511329846">
    <w:abstractNumId w:val="20"/>
  </w:num>
  <w:num w:numId="45" w16cid:durableId="8280142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2A5C"/>
    <w:rsid w:val="00003543"/>
    <w:rsid w:val="00003656"/>
    <w:rsid w:val="00004850"/>
    <w:rsid w:val="000049B1"/>
    <w:rsid w:val="00005AEF"/>
    <w:rsid w:val="00005BD9"/>
    <w:rsid w:val="00006103"/>
    <w:rsid w:val="0000735C"/>
    <w:rsid w:val="00007C9B"/>
    <w:rsid w:val="00007DB9"/>
    <w:rsid w:val="000103EB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187C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093"/>
    <w:rsid w:val="00090993"/>
    <w:rsid w:val="00090CCC"/>
    <w:rsid w:val="0009163A"/>
    <w:rsid w:val="000917FC"/>
    <w:rsid w:val="0009181E"/>
    <w:rsid w:val="00091AE1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45B"/>
    <w:rsid w:val="000C0C14"/>
    <w:rsid w:val="000C1019"/>
    <w:rsid w:val="000C1271"/>
    <w:rsid w:val="000C1CB7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0F0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6D5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5EF8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127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C5D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2600A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0B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B7D26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3DE4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171F9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37963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09F2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2FAD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1FD0"/>
    <w:rsid w:val="00413E91"/>
    <w:rsid w:val="0041490F"/>
    <w:rsid w:val="00414CAD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27A10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4444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500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672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838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12D0"/>
    <w:rsid w:val="00522DD9"/>
    <w:rsid w:val="005239DB"/>
    <w:rsid w:val="005240FF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D34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1D6"/>
    <w:rsid w:val="00597435"/>
    <w:rsid w:val="00597F49"/>
    <w:rsid w:val="005A0AAB"/>
    <w:rsid w:val="005A16BD"/>
    <w:rsid w:val="005A3306"/>
    <w:rsid w:val="005A430E"/>
    <w:rsid w:val="005A43EE"/>
    <w:rsid w:val="005A4BBB"/>
    <w:rsid w:val="005A4C4E"/>
    <w:rsid w:val="005A5A1F"/>
    <w:rsid w:val="005A6921"/>
    <w:rsid w:val="005A730A"/>
    <w:rsid w:val="005B0546"/>
    <w:rsid w:val="005B3E31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6D53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479C"/>
    <w:rsid w:val="00644A36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1999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0C1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5B2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2408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5C"/>
    <w:rsid w:val="00726DC2"/>
    <w:rsid w:val="007332E6"/>
    <w:rsid w:val="007334DE"/>
    <w:rsid w:val="00733D60"/>
    <w:rsid w:val="0073401A"/>
    <w:rsid w:val="00734611"/>
    <w:rsid w:val="00734809"/>
    <w:rsid w:val="00735384"/>
    <w:rsid w:val="007356F3"/>
    <w:rsid w:val="007362F7"/>
    <w:rsid w:val="00737DD3"/>
    <w:rsid w:val="007401F2"/>
    <w:rsid w:val="00740302"/>
    <w:rsid w:val="007414C6"/>
    <w:rsid w:val="00741C18"/>
    <w:rsid w:val="00742179"/>
    <w:rsid w:val="007423F4"/>
    <w:rsid w:val="00742989"/>
    <w:rsid w:val="007429C9"/>
    <w:rsid w:val="00743C0C"/>
    <w:rsid w:val="00745850"/>
    <w:rsid w:val="00746028"/>
    <w:rsid w:val="00746E6A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CDD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2F90"/>
    <w:rsid w:val="00795E36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29D3"/>
    <w:rsid w:val="007C43B4"/>
    <w:rsid w:val="007C5A78"/>
    <w:rsid w:val="007C6E65"/>
    <w:rsid w:val="007D0741"/>
    <w:rsid w:val="007D110D"/>
    <w:rsid w:val="007D147D"/>
    <w:rsid w:val="007D162F"/>
    <w:rsid w:val="007D21BA"/>
    <w:rsid w:val="007D2257"/>
    <w:rsid w:val="007D2862"/>
    <w:rsid w:val="007D2B0A"/>
    <w:rsid w:val="007D2DD1"/>
    <w:rsid w:val="007D32BC"/>
    <w:rsid w:val="007D36DA"/>
    <w:rsid w:val="007D4075"/>
    <w:rsid w:val="007D414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2EE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035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133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3CC9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729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16F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4C2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5AC9"/>
    <w:rsid w:val="00976614"/>
    <w:rsid w:val="00976C4F"/>
    <w:rsid w:val="00980549"/>
    <w:rsid w:val="009809E5"/>
    <w:rsid w:val="009821AB"/>
    <w:rsid w:val="00982946"/>
    <w:rsid w:val="0098475E"/>
    <w:rsid w:val="00984BDE"/>
    <w:rsid w:val="00985B73"/>
    <w:rsid w:val="00986207"/>
    <w:rsid w:val="00986E8C"/>
    <w:rsid w:val="009870C2"/>
    <w:rsid w:val="00987298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1B7F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81E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27ED3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59CA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905"/>
    <w:rsid w:val="00A769FC"/>
    <w:rsid w:val="00A779EB"/>
    <w:rsid w:val="00A77B4E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AB3"/>
    <w:rsid w:val="00A94417"/>
    <w:rsid w:val="00A94BD0"/>
    <w:rsid w:val="00A94E37"/>
    <w:rsid w:val="00A9519D"/>
    <w:rsid w:val="00A969F2"/>
    <w:rsid w:val="00A97EC9"/>
    <w:rsid w:val="00AA23AD"/>
    <w:rsid w:val="00AA2CCA"/>
    <w:rsid w:val="00AA41D9"/>
    <w:rsid w:val="00AA420E"/>
    <w:rsid w:val="00AA43E1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3E22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A2E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07C9"/>
    <w:rsid w:val="00B94181"/>
    <w:rsid w:val="00B963D2"/>
    <w:rsid w:val="00B96A5A"/>
    <w:rsid w:val="00BA06A3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100"/>
    <w:rsid w:val="00C00AD5"/>
    <w:rsid w:val="00C00C07"/>
    <w:rsid w:val="00C01873"/>
    <w:rsid w:val="00C02356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268F8"/>
    <w:rsid w:val="00C26A5E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0DB6"/>
    <w:rsid w:val="00C51AAC"/>
    <w:rsid w:val="00C52355"/>
    <w:rsid w:val="00C523F6"/>
    <w:rsid w:val="00C54A25"/>
    <w:rsid w:val="00C5511E"/>
    <w:rsid w:val="00C555D6"/>
    <w:rsid w:val="00C55971"/>
    <w:rsid w:val="00C559A3"/>
    <w:rsid w:val="00C56066"/>
    <w:rsid w:val="00C56760"/>
    <w:rsid w:val="00C600EC"/>
    <w:rsid w:val="00C6036B"/>
    <w:rsid w:val="00C60DAF"/>
    <w:rsid w:val="00C6165C"/>
    <w:rsid w:val="00C62686"/>
    <w:rsid w:val="00C64A55"/>
    <w:rsid w:val="00C64B39"/>
    <w:rsid w:val="00C65AFF"/>
    <w:rsid w:val="00C660DC"/>
    <w:rsid w:val="00C6626F"/>
    <w:rsid w:val="00C67175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8F6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286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54BA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166F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5F10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10F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DF7205"/>
    <w:rsid w:val="00E00C04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783"/>
    <w:rsid w:val="00E306E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15B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4F20"/>
    <w:rsid w:val="00E555A5"/>
    <w:rsid w:val="00E55990"/>
    <w:rsid w:val="00E55F6D"/>
    <w:rsid w:val="00E56353"/>
    <w:rsid w:val="00E568A4"/>
    <w:rsid w:val="00E56A00"/>
    <w:rsid w:val="00E60457"/>
    <w:rsid w:val="00E60814"/>
    <w:rsid w:val="00E6092D"/>
    <w:rsid w:val="00E63655"/>
    <w:rsid w:val="00E64532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0DE2"/>
    <w:rsid w:val="00E8104A"/>
    <w:rsid w:val="00E81ABD"/>
    <w:rsid w:val="00E81F84"/>
    <w:rsid w:val="00E82ABF"/>
    <w:rsid w:val="00E83ED8"/>
    <w:rsid w:val="00E842A5"/>
    <w:rsid w:val="00E849F1"/>
    <w:rsid w:val="00E86502"/>
    <w:rsid w:val="00E876FC"/>
    <w:rsid w:val="00E87AAE"/>
    <w:rsid w:val="00E901DF"/>
    <w:rsid w:val="00E90B68"/>
    <w:rsid w:val="00E92467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E7A"/>
    <w:rsid w:val="00EA744E"/>
    <w:rsid w:val="00EA76DF"/>
    <w:rsid w:val="00EB059C"/>
    <w:rsid w:val="00EB31FE"/>
    <w:rsid w:val="00EB3843"/>
    <w:rsid w:val="00EB4A0A"/>
    <w:rsid w:val="00EB67FE"/>
    <w:rsid w:val="00EB780A"/>
    <w:rsid w:val="00EC038F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3D7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1F85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0ACC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6E71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6D78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4A4A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2BB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6EEE"/>
    <w:rsid w:val="00FD7582"/>
    <w:rsid w:val="00FE1EE9"/>
    <w:rsid w:val="00FE2FBA"/>
    <w:rsid w:val="00FE34AD"/>
    <w:rsid w:val="00FE382E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149B2BC1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10Corporateinformation">
    <w:name w:val="10_Corporate information"/>
    <w:basedOn w:val="01Copytext"/>
    <w:link w:val="10CorporateinformationZchn"/>
    <w:autoRedefine/>
    <w:uiPriority w:val="9"/>
    <w:qFormat/>
    <w:rsid w:val="00726D5C"/>
    <w:pPr>
      <w:spacing w:after="280" w:line="160" w:lineRule="exact"/>
    </w:pPr>
    <w:rPr>
      <w:sz w:val="15"/>
      <w:lang w:eastAsia="en-US" w:bidi="ar-SA"/>
    </w:rPr>
  </w:style>
  <w:style w:type="character" w:customStyle="1" w:styleId="10CorporateinformationZchn">
    <w:name w:val="10_Corporate information Zchn"/>
    <w:basedOn w:val="01CopytextZchn"/>
    <w:link w:val="10Corporateinformation"/>
    <w:uiPriority w:val="9"/>
    <w:rsid w:val="00726D5C"/>
    <w:rPr>
      <w:rFonts w:ascii="MB Corpo S Text Office Light" w:hAnsi="MB Corpo S Text Office Light"/>
      <w:sz w:val="15"/>
      <w:szCs w:val="21"/>
      <w:lang w:eastAsia="en-US" w:bidi="ar-SA"/>
    </w:rPr>
  </w:style>
  <w:style w:type="paragraph" w:customStyle="1" w:styleId="08Footerarea">
    <w:name w:val="08_Footer area"/>
    <w:basedOn w:val="Normal"/>
    <w:autoRedefine/>
    <w:uiPriority w:val="7"/>
    <w:qFormat/>
    <w:rsid w:val="00765CDD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character" w:customStyle="1" w:styleId="normaltextrun">
    <w:name w:val="normaltextrun"/>
    <w:basedOn w:val="DefaultParagraphFont"/>
    <w:rsid w:val="00C01873"/>
  </w:style>
  <w:style w:type="character" w:customStyle="1" w:styleId="eop">
    <w:name w:val="eop"/>
    <w:basedOn w:val="DefaultParagraphFont"/>
    <w:rsid w:val="00C01873"/>
  </w:style>
  <w:style w:type="character" w:customStyle="1" w:styleId="ui-provider">
    <w:name w:val="ui-provider"/>
    <w:basedOn w:val="DefaultParagraphFont"/>
    <w:rsid w:val="00C01873"/>
  </w:style>
  <w:style w:type="paragraph" w:customStyle="1" w:styleId="paragraph">
    <w:name w:val="paragraph"/>
    <w:basedOn w:val="Normal"/>
    <w:rsid w:val="007D2D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1">
    <w:name w:val="Heading 1 Char1"/>
    <w:aliases w:val="05_Headline 1 Char1,05_Überschrift 1 Char1"/>
    <w:basedOn w:val="DefaultParagraphFont"/>
    <w:uiPriority w:val="4"/>
    <w:rsid w:val="00733D60"/>
    <w:rPr>
      <w:rFonts w:ascii="MB Corpo A Title Cond Office" w:hAnsi="MB Corpo A Title Cond Office"/>
      <w:sz w:val="28"/>
      <w:lang w:val="pt-PT"/>
    </w:rPr>
  </w:style>
  <w:style w:type="character" w:styleId="UnresolvedMention">
    <w:name w:val="Unresolved Mention"/>
    <w:basedOn w:val="DefaultParagraphFont"/>
    <w:uiPriority w:val="99"/>
    <w:semiHidden/>
    <w:unhideWhenUsed/>
    <w:rsid w:val="00414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group.mercedes-benz.com/q1-2024/en/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edia.mercedes-benz.com/article/a7d67570-f069-4a7c-a5ee-7e42a0fdfd2c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137B79D-3748-41FC-9278-8EE5E59AD9F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5</Pages>
  <Words>2469</Words>
  <Characters>13334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25</cp:revision>
  <cp:lastPrinted>2024-04-29T14:52:00Z</cp:lastPrinted>
  <dcterms:created xsi:type="dcterms:W3CDTF">2024-01-03T15:27:00Z</dcterms:created>
  <dcterms:modified xsi:type="dcterms:W3CDTF">2024-04-30T16:16:00Z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2023-10-10T14:19:21Z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f2d2e60d-91f2-45e9-a8f5-1bb3b3cbb06e</vt:lpwstr>
  </property>
  <property fmtid="{D5CDD505-2E9C-101B-9397-08002B2CF9AE}" pid="8" name="MSIP_Label_924dbb1d-991d-4bbd-aad5-33bac1d8ffaf_ContentBits">
    <vt:lpwstr>0</vt:lpwstr>
  </property>
</Properties>
</file>