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DD4522" w:rsidRPr="00DD4522" w:rsidRDefault="00DD4522" w:rsidP="00600ED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  <w:r w:rsidRPr="00DD4522">
        <w:rPr>
          <w:rFonts w:ascii="CorpoA" w:hAnsi="CorpoA" w:cs="Arial"/>
          <w:sz w:val="36"/>
          <w:szCs w:val="36"/>
          <w:lang w:eastAsia="pt-PT"/>
        </w:rPr>
        <w:t>Mercedes-Benz junta-se a</w:t>
      </w:r>
      <w:r w:rsidRPr="00DD4522">
        <w:rPr>
          <w:rFonts w:ascii="CorpoA" w:hAnsi="CorpoA" w:cs="Arial"/>
          <w:sz w:val="36"/>
          <w:szCs w:val="36"/>
          <w:lang w:eastAsia="pt-PT"/>
        </w:rPr>
        <w:t xml:space="preserve"> </w:t>
      </w:r>
      <w:r w:rsidRPr="00DD4522">
        <w:rPr>
          <w:rFonts w:ascii="CorpoA" w:hAnsi="CorpoA" w:cs="Arial"/>
          <w:sz w:val="36"/>
          <w:szCs w:val="36"/>
          <w:lang w:eastAsia="pt-PT"/>
        </w:rPr>
        <w:t>Pacto de Mobilidade para a Cidade de Lisboa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 xml:space="preserve">O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World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Business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Council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for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Sustainable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Development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(WBCSD), a Câmara Municipal de Lisboa, o BCSD Portugal e um conjunto de empresas nacionais e estra</w:t>
      </w:r>
      <w:r w:rsidR="0017357E">
        <w:rPr>
          <w:rFonts w:ascii="CorpoA" w:hAnsi="CorpoA" w:cs="Arial"/>
          <w:sz w:val="22"/>
          <w:szCs w:val="22"/>
          <w:lang w:eastAsia="pt-PT"/>
        </w:rPr>
        <w:t>n</w:t>
      </w:r>
      <w:r w:rsidRPr="00DD4522">
        <w:rPr>
          <w:rFonts w:ascii="CorpoA" w:hAnsi="CorpoA" w:cs="Arial"/>
          <w:sz w:val="22"/>
          <w:szCs w:val="22"/>
          <w:lang w:eastAsia="pt-PT"/>
        </w:rPr>
        <w:t xml:space="preserve">geiras, entre </w:t>
      </w:r>
      <w:r w:rsidR="0017357E">
        <w:rPr>
          <w:rFonts w:ascii="CorpoA" w:hAnsi="CorpoA" w:cs="Arial"/>
          <w:sz w:val="22"/>
          <w:szCs w:val="22"/>
          <w:lang w:eastAsia="pt-PT"/>
        </w:rPr>
        <w:t>as quais</w:t>
      </w:r>
      <w:r w:rsidRPr="00DD4522">
        <w:rPr>
          <w:rFonts w:ascii="CorpoA" w:hAnsi="CorpoA" w:cs="Arial"/>
          <w:sz w:val="22"/>
          <w:szCs w:val="22"/>
          <w:lang w:eastAsia="pt-PT"/>
        </w:rPr>
        <w:t xml:space="preserve"> a Mercedes-Benz Portugal, deram hoje um passo importante com a assinatura do Pacto de Mobilidade Empresarial (CMP) com a cidade de Lisboa assumindo o compromisso de tornar a mobilidade mais sustentável na cidade.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17357E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i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>Esta iniciativa é uma resposta ao desafi</w:t>
      </w:r>
      <w:r w:rsidR="0017357E">
        <w:rPr>
          <w:rFonts w:ascii="CorpoA" w:hAnsi="CorpoA" w:cs="Arial"/>
          <w:sz w:val="22"/>
          <w:szCs w:val="22"/>
          <w:lang w:eastAsia="pt-PT"/>
        </w:rPr>
        <w:t>o do presidente Fernando Medina</w:t>
      </w:r>
      <w:r w:rsidRPr="00DD4522">
        <w:rPr>
          <w:rFonts w:ascii="CorpoA" w:hAnsi="CorpoA" w:cs="Arial"/>
          <w:sz w:val="22"/>
          <w:szCs w:val="22"/>
          <w:lang w:eastAsia="pt-PT"/>
        </w:rPr>
        <w:t xml:space="preserve"> para </w:t>
      </w:r>
      <w:r w:rsidRPr="0017357E">
        <w:rPr>
          <w:rFonts w:ascii="CorpoA" w:hAnsi="CorpoA" w:cs="Arial"/>
          <w:i/>
          <w:sz w:val="22"/>
          <w:szCs w:val="22"/>
          <w:lang w:eastAsia="pt-PT"/>
        </w:rPr>
        <w:t>quem “a descarbonização se apresenta como o maior desafio da nossa geração. Necessitamos de reduzir as nossas emissões e tornar todos os tipos de transporte mais sustentáveis. Todos os dias contam e todas as ações são importantes”.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>O CMP irá catalisar a liderança empresarial e visa acelerar a transformação da mobilidade urbana para soluções sustentáveis. As entidades signatárias vão adotar um conjunto de medidas que contribuirão para que a cidade de Lisboa tenha um sistema de mobilidade mais seguro, acessível, ecológico e eficiente, conforme os princípios fundamentais da colaboração, do compromisso, da transparência e da segurança.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 xml:space="preserve">O Pacto tem como objetivo contribuir para uma mobilidade mais sustentável, em Lisboa, através da promoção de uma oferta e de uma procura de soluções multimodais, em primeiro lugar através da criação de condições para adoção de novos comportamentos e </w:t>
      </w:r>
      <w:r w:rsidRPr="00DD4522">
        <w:rPr>
          <w:rFonts w:ascii="CorpoA" w:hAnsi="CorpoA" w:cs="Arial"/>
          <w:sz w:val="22"/>
          <w:szCs w:val="22"/>
          <w:lang w:eastAsia="pt-PT"/>
        </w:rPr>
        <w:lastRenderedPageBreak/>
        <w:t>de novas soluções pelos colaboradores e, ainda, através do alargamento destas medidas a fornecedores e clientes.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17357E">
        <w:rPr>
          <w:rFonts w:ascii="CorpoA" w:hAnsi="CorpoA" w:cs="Arial"/>
          <w:i/>
          <w:sz w:val="22"/>
          <w:szCs w:val="22"/>
          <w:lang w:eastAsia="pt-PT"/>
        </w:rPr>
        <w:t>“O Pacto de Mobilidade Empresarial em Lisboa define o caminho para o sucesso e necessitamos que outras empresas e outras cidades do mundo utilizem este modelo para a sua própria transformação e para apoiar o crescimento inclusivo e sustentável”,</w:t>
      </w:r>
      <w:r w:rsidRPr="00DD4522">
        <w:rPr>
          <w:rFonts w:ascii="CorpoA" w:hAnsi="CorpoA" w:cs="Arial"/>
          <w:sz w:val="22"/>
          <w:szCs w:val="22"/>
          <w:lang w:eastAsia="pt-PT"/>
        </w:rPr>
        <w:t xml:space="preserve"> disse Peter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Bakker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>, Presidente e CEO do WBCSD.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17357E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i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 xml:space="preserve">Segundo Miguel Gaspar, Vereador da Mobilidade da Câmara Municipal de Lisboa, </w:t>
      </w:r>
      <w:r w:rsidRPr="0017357E">
        <w:rPr>
          <w:rFonts w:ascii="CorpoA" w:hAnsi="CorpoA" w:cs="Arial"/>
          <w:i/>
          <w:sz w:val="22"/>
          <w:szCs w:val="22"/>
          <w:lang w:eastAsia="pt-PT"/>
        </w:rPr>
        <w:t>"a cidade irá fornecer as condições necessárias para garantir que os compromissos serão mensurados e que o diálogo continue”.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17357E" w:rsidRDefault="0017357E" w:rsidP="00DD4522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17357E">
        <w:rPr>
          <w:rFonts w:ascii="CorpoA" w:hAnsi="CorpoA" w:cs="Arial"/>
          <w:b/>
          <w:i/>
          <w:sz w:val="22"/>
          <w:szCs w:val="22"/>
          <w:lang w:eastAsia="pt-PT"/>
        </w:rPr>
        <w:t>“</w:t>
      </w:r>
      <w:r w:rsidR="004625A4">
        <w:rPr>
          <w:rFonts w:ascii="CorpoA" w:hAnsi="CorpoA" w:cs="Arial"/>
          <w:b/>
          <w:i/>
          <w:sz w:val="22"/>
          <w:szCs w:val="22"/>
          <w:lang w:eastAsia="pt-PT"/>
        </w:rPr>
        <w:t>Com a nossa estratégia Ambition2039</w:t>
      </w:r>
      <w:bookmarkStart w:id="0" w:name="_GoBack"/>
      <w:bookmarkEnd w:id="0"/>
      <w:r w:rsidR="00DD4522" w:rsidRPr="0017357E">
        <w:rPr>
          <w:rFonts w:ascii="CorpoA" w:hAnsi="CorpoA" w:cs="Arial"/>
          <w:b/>
          <w:i/>
          <w:sz w:val="22"/>
          <w:szCs w:val="22"/>
          <w:lang w:eastAsia="pt-PT"/>
        </w:rPr>
        <w:t xml:space="preserve">, temos como meta apresentar uma frota de veículos </w:t>
      </w:r>
      <w:proofErr w:type="gramStart"/>
      <w:r w:rsidR="00DD4522" w:rsidRPr="0017357E">
        <w:rPr>
          <w:rFonts w:ascii="CorpoA" w:hAnsi="CorpoA" w:cs="Arial"/>
          <w:b/>
          <w:i/>
          <w:sz w:val="22"/>
          <w:szCs w:val="22"/>
          <w:lang w:eastAsia="pt-PT"/>
        </w:rPr>
        <w:t>novos neutra</w:t>
      </w:r>
      <w:proofErr w:type="gramEnd"/>
      <w:r w:rsidR="00DD4522" w:rsidRPr="0017357E">
        <w:rPr>
          <w:rFonts w:ascii="CorpoA" w:hAnsi="CorpoA" w:cs="Arial"/>
          <w:b/>
          <w:i/>
          <w:sz w:val="22"/>
          <w:szCs w:val="22"/>
          <w:lang w:eastAsia="pt-PT"/>
        </w:rPr>
        <w:t xml:space="preserve"> em emissões de carbono até 2039. Já em 2030, metade dos veículos que comercializamos será parcialmente elétrica. Com isso em mente, estamos entusiasmados por fazer parte deste pacto com a cidade de Lisboa</w:t>
      </w:r>
      <w:r w:rsidRPr="0017357E">
        <w:rPr>
          <w:rFonts w:ascii="CorpoA" w:hAnsi="CorpoA" w:cs="Arial"/>
          <w:b/>
          <w:i/>
          <w:sz w:val="22"/>
          <w:szCs w:val="22"/>
          <w:lang w:eastAsia="pt-PT"/>
        </w:rPr>
        <w:t>”</w:t>
      </w:r>
      <w:r w:rsidR="00DD4522" w:rsidRPr="0017357E">
        <w:rPr>
          <w:rFonts w:ascii="CorpoA" w:hAnsi="CorpoA" w:cs="Arial"/>
          <w:b/>
          <w:i/>
          <w:sz w:val="22"/>
          <w:szCs w:val="22"/>
          <w:lang w:eastAsia="pt-PT"/>
        </w:rPr>
        <w:t>,</w:t>
      </w:r>
      <w:r w:rsidR="00DD4522" w:rsidRPr="0017357E">
        <w:rPr>
          <w:rFonts w:ascii="CorpoA" w:hAnsi="CorpoA" w:cs="Arial"/>
          <w:b/>
          <w:sz w:val="22"/>
          <w:szCs w:val="22"/>
          <w:lang w:eastAsia="pt-PT"/>
        </w:rPr>
        <w:t xml:space="preserve"> afirmou Pierre-Emmanuel Chartier, CEO da Mercedes-Benz Portugal &amp; </w:t>
      </w:r>
      <w:proofErr w:type="spellStart"/>
      <w:r w:rsidR="00DD4522" w:rsidRPr="0017357E">
        <w:rPr>
          <w:rFonts w:ascii="CorpoA" w:hAnsi="CorpoA" w:cs="Arial"/>
          <w:b/>
          <w:sz w:val="22"/>
          <w:szCs w:val="22"/>
          <w:lang w:eastAsia="pt-PT"/>
        </w:rPr>
        <w:t>Managing</w:t>
      </w:r>
      <w:proofErr w:type="spellEnd"/>
      <w:r w:rsidR="00DD4522" w:rsidRPr="0017357E">
        <w:rPr>
          <w:rFonts w:ascii="CorpoA" w:hAnsi="CorpoA" w:cs="Arial"/>
          <w:b/>
          <w:sz w:val="22"/>
          <w:szCs w:val="22"/>
          <w:lang w:eastAsia="pt-PT"/>
        </w:rPr>
        <w:t xml:space="preserve"> Director Mercedes-Benz </w:t>
      </w:r>
      <w:proofErr w:type="spellStart"/>
      <w:r w:rsidR="00DD4522" w:rsidRPr="0017357E">
        <w:rPr>
          <w:rFonts w:ascii="CorpoA" w:hAnsi="CorpoA" w:cs="Arial"/>
          <w:b/>
          <w:sz w:val="22"/>
          <w:szCs w:val="22"/>
          <w:lang w:eastAsia="pt-PT"/>
        </w:rPr>
        <w:t>Cars</w:t>
      </w:r>
      <w:proofErr w:type="spellEnd"/>
      <w:r w:rsidR="00DD4522" w:rsidRPr="0017357E">
        <w:rPr>
          <w:rFonts w:ascii="CorpoA" w:hAnsi="CorpoA" w:cs="Arial"/>
          <w:b/>
          <w:sz w:val="22"/>
          <w:szCs w:val="22"/>
          <w:lang w:eastAsia="pt-PT"/>
        </w:rPr>
        <w:t>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17357E">
        <w:rPr>
          <w:rFonts w:ascii="CorpoA" w:hAnsi="CorpoA" w:cs="Arial"/>
          <w:i/>
          <w:sz w:val="22"/>
          <w:szCs w:val="22"/>
          <w:lang w:eastAsia="pt-PT"/>
        </w:rPr>
        <w:t>“A transformação faz-se com persistência e com coerência, e Lisboa dá-nos um bom exemplo de ambas, quando a Câmara mantém a agenda que definiu para si própria, e quando a Câmara, as empresas e o WBCSD são capazes de materializar no presente, aquilo que já foi só uma visão de longo prazo”</w:t>
      </w:r>
      <w:r w:rsidRPr="00DD4522">
        <w:rPr>
          <w:rFonts w:ascii="CorpoA" w:hAnsi="CorpoA" w:cs="Arial"/>
          <w:sz w:val="22"/>
          <w:szCs w:val="22"/>
          <w:lang w:eastAsia="pt-PT"/>
        </w:rPr>
        <w:t>, disse Vasco de Mello, Presidente e CEO da Brisa, a este propósito.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17357E">
        <w:rPr>
          <w:rFonts w:ascii="CorpoA" w:hAnsi="CorpoA" w:cs="Arial"/>
          <w:i/>
          <w:sz w:val="22"/>
          <w:szCs w:val="22"/>
          <w:lang w:eastAsia="pt-PT"/>
        </w:rPr>
        <w:t>“Enquanto líderes de algumas das empresas mais sustentáveis do mundo, devemos intensificar os esforços e trabalhar com outras empresas, clientes, cadeias de valor e cidades, de forma a alavancar o desenvolvimento de soluções concretas e alcançar a transformação da mobilidade sustentável”</w:t>
      </w:r>
      <w:r w:rsidRPr="00DD4522">
        <w:rPr>
          <w:rFonts w:ascii="CorpoA" w:hAnsi="CorpoA" w:cs="Arial"/>
          <w:sz w:val="22"/>
          <w:szCs w:val="22"/>
          <w:lang w:eastAsia="pt-PT"/>
        </w:rPr>
        <w:t>, afirmou António Mexia, CEO da EDP.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 xml:space="preserve">Para João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Wengorovius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Meneses, Secretário Geral do BCSD Portugal, “</w:t>
      </w:r>
      <w:r w:rsidRPr="0017357E">
        <w:rPr>
          <w:rFonts w:ascii="CorpoA" w:hAnsi="CorpoA" w:cs="Arial"/>
          <w:i/>
          <w:sz w:val="22"/>
          <w:szCs w:val="22"/>
          <w:lang w:eastAsia="pt-PT"/>
        </w:rPr>
        <w:t>é tempo de agir. O Pacto de Mobilidade Empresarial fornece às empresas colaboração, inovação e metas ambiciosas. Esses são os meios que nos ajudarão a alcançar a nossa visão de cidades sustentáveis. Liderar com a ação, agir com rapidez e foco no impacto levar-nos-á até lá”.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t xml:space="preserve"> 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D4522">
        <w:rPr>
          <w:rFonts w:ascii="CorpoA" w:hAnsi="CorpoA" w:cs="Arial"/>
          <w:sz w:val="22"/>
          <w:szCs w:val="22"/>
          <w:lang w:eastAsia="pt-PT"/>
        </w:rPr>
        <w:lastRenderedPageBreak/>
        <w:t xml:space="preserve">São signatárias do Pacto as seguintes entidades: Accenture;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Acciona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Adene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ANA - Aeroportos de Portugal;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Arcadis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Banco Atlântico Europa; Barraqueiro Transportes; BNP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Paribas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Brisa; Caetano Auto; Carris;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Circ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Crédito Agrícola; CTT; DECO;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Deloitte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DHL Express Portugal; DPD;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Eaton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eCooltra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EDF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Renewables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Portugal; EDP;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Efacec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El Corte Inglês; EMEL;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Epal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EY; Fujitsu; Fundação Salesianos; Galp; Grupo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Ageas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Portugal; Hertz; IKEA Portugal; Imprensa Nacional Casa da Moeda; Infraestruturas de Portugal;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Kia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Portugal;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Logistema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Lojas Francas de Portugal, S.A.;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Loyal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Advisory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Mercedes-Benz Portugal; Metropolitano de Lisboa E.P.E.; Millennium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bcp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Nissan Portugal;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PwC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Repsol; Rodoviária de Lisboa; Santander; Schneider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Electric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SGS Portugal; Siemens; Siva;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Tecnoplano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TIS; </w:t>
      </w:r>
      <w:proofErr w:type="spellStart"/>
      <w:r w:rsidRPr="00DD4522">
        <w:rPr>
          <w:rFonts w:ascii="CorpoA" w:hAnsi="CorpoA" w:cs="Arial"/>
          <w:sz w:val="22"/>
          <w:szCs w:val="22"/>
          <w:lang w:eastAsia="pt-PT"/>
        </w:rPr>
        <w:t>TramGrid</w:t>
      </w:r>
      <w:proofErr w:type="spellEnd"/>
      <w:r w:rsidRPr="00DD4522">
        <w:rPr>
          <w:rFonts w:ascii="CorpoA" w:hAnsi="CorpoA" w:cs="Arial"/>
          <w:sz w:val="22"/>
          <w:szCs w:val="22"/>
          <w:lang w:eastAsia="pt-PT"/>
        </w:rPr>
        <w:t xml:space="preserve">; Uber e Vodafone. A este grupo poderão juntar-se outras no futuro. 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b/>
          <w:sz w:val="18"/>
          <w:szCs w:val="18"/>
          <w:lang w:eastAsia="pt-PT"/>
        </w:rPr>
      </w:pPr>
      <w:r w:rsidRPr="00DD4522">
        <w:rPr>
          <w:rFonts w:ascii="CorpoA" w:hAnsi="CorpoA" w:cs="Arial"/>
          <w:b/>
          <w:sz w:val="18"/>
          <w:szCs w:val="18"/>
          <w:lang w:eastAsia="pt-PT"/>
        </w:rPr>
        <w:t>Sobre o WBCSD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18"/>
          <w:szCs w:val="18"/>
          <w:lang w:eastAsia="pt-PT"/>
        </w:rPr>
      </w:pPr>
      <w:r w:rsidRPr="00DD4522">
        <w:rPr>
          <w:rFonts w:ascii="CorpoA" w:hAnsi="CorpoA" w:cs="Arial"/>
          <w:sz w:val="18"/>
          <w:szCs w:val="18"/>
          <w:lang w:eastAsia="pt-PT"/>
        </w:rPr>
        <w:t>O WBCSD é uma organização global liderada por CEO de mais de 200 empresas líderes que trabalham em conjunto para acelerar a transição para um mundo sustentável. Apoia as suas empresas membro a tornarem-se mais bem-sucedidas e sustentáveis, concentrando-se no impacto positivo para os acionistas, para o ambiente e para as sociedades. Agrega empresas de todos os setores de negócio e das principais economias, representando uma receita combinada de mais de 8,5 triliões de US$ e 19 milhões de funcionários. A rede global de quase 70 conselhos empresariais nacionais oferece aos seus membros um alcance sem paralelo em todo o mundo. O WBCSD está posicionado de forma única para trabalhar com as empresas membro ao longo e através das cadeias de valor, proporcionando soluções de negócios de alto impacto para as questões mais desafiadoras da sustentabilidade.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18"/>
          <w:szCs w:val="18"/>
          <w:lang w:eastAsia="pt-PT"/>
        </w:rPr>
      </w:pP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b/>
          <w:sz w:val="18"/>
          <w:szCs w:val="18"/>
          <w:lang w:eastAsia="pt-PT"/>
        </w:rPr>
      </w:pPr>
      <w:r w:rsidRPr="00DD4522">
        <w:rPr>
          <w:rFonts w:ascii="CorpoA" w:hAnsi="CorpoA" w:cs="Arial"/>
          <w:b/>
          <w:sz w:val="18"/>
          <w:szCs w:val="18"/>
          <w:lang w:eastAsia="pt-PT"/>
        </w:rPr>
        <w:t>Sobre o BCSD Portugal</w:t>
      </w:r>
    </w:p>
    <w:p w:rsidR="00DD4522" w:rsidRPr="00DD4522" w:rsidRDefault="00DD4522" w:rsidP="00DD4522">
      <w:pPr>
        <w:suppressAutoHyphens w:val="0"/>
        <w:spacing w:line="360" w:lineRule="auto"/>
        <w:jc w:val="both"/>
        <w:rPr>
          <w:rFonts w:ascii="CorpoA" w:hAnsi="CorpoA" w:cs="Arial"/>
          <w:sz w:val="18"/>
          <w:szCs w:val="18"/>
          <w:lang w:eastAsia="pt-PT"/>
        </w:rPr>
      </w:pPr>
      <w:r w:rsidRPr="00DD4522">
        <w:rPr>
          <w:rFonts w:ascii="CorpoA" w:hAnsi="CorpoA" w:cs="Arial"/>
          <w:sz w:val="18"/>
          <w:szCs w:val="18"/>
          <w:lang w:eastAsia="pt-PT"/>
        </w:rPr>
        <w:t xml:space="preserve">O Business </w:t>
      </w:r>
      <w:proofErr w:type="spellStart"/>
      <w:r w:rsidRPr="00DD4522">
        <w:rPr>
          <w:rFonts w:ascii="CorpoA" w:hAnsi="CorpoA" w:cs="Arial"/>
          <w:sz w:val="18"/>
          <w:szCs w:val="18"/>
          <w:lang w:eastAsia="pt-PT"/>
        </w:rPr>
        <w:t>Council</w:t>
      </w:r>
      <w:proofErr w:type="spellEnd"/>
      <w:r w:rsidRPr="00DD4522">
        <w:rPr>
          <w:rFonts w:ascii="CorpoA" w:hAnsi="CorpoA" w:cs="Arial"/>
          <w:sz w:val="18"/>
          <w:szCs w:val="18"/>
          <w:lang w:eastAsia="pt-PT"/>
        </w:rPr>
        <w:t xml:space="preserve"> for </w:t>
      </w:r>
      <w:proofErr w:type="spellStart"/>
      <w:r w:rsidRPr="00DD4522">
        <w:rPr>
          <w:rFonts w:ascii="CorpoA" w:hAnsi="CorpoA" w:cs="Arial"/>
          <w:sz w:val="18"/>
          <w:szCs w:val="18"/>
          <w:lang w:eastAsia="pt-PT"/>
        </w:rPr>
        <w:t>Sustainable</w:t>
      </w:r>
      <w:proofErr w:type="spellEnd"/>
      <w:r w:rsidRPr="00DD4522">
        <w:rPr>
          <w:rFonts w:ascii="CorpoA" w:hAnsi="CorpoA" w:cs="Arial"/>
          <w:sz w:val="18"/>
          <w:szCs w:val="18"/>
          <w:lang w:eastAsia="pt-PT"/>
        </w:rPr>
        <w:t xml:space="preserve"> </w:t>
      </w:r>
      <w:proofErr w:type="spellStart"/>
      <w:r w:rsidRPr="00DD4522">
        <w:rPr>
          <w:rFonts w:ascii="CorpoA" w:hAnsi="CorpoA" w:cs="Arial"/>
          <w:sz w:val="18"/>
          <w:szCs w:val="18"/>
          <w:lang w:eastAsia="pt-PT"/>
        </w:rPr>
        <w:t>Development</w:t>
      </w:r>
      <w:proofErr w:type="spellEnd"/>
      <w:r w:rsidRPr="00DD4522">
        <w:rPr>
          <w:rFonts w:ascii="CorpoA" w:hAnsi="CorpoA" w:cs="Arial"/>
          <w:sz w:val="18"/>
          <w:szCs w:val="18"/>
          <w:lang w:eastAsia="pt-PT"/>
        </w:rPr>
        <w:t xml:space="preserve"> (BCSD) Portugal é uma associação sem fins lucrativos, que agrega e representa mais de 90 empresas de referência em Portugal, que se comprometem ativamente com a transição para a sustentabilidade. Ajuda as empresas associadas na jornada para a sustentabilidade, promovendo o impacto positivo para </w:t>
      </w:r>
      <w:proofErr w:type="spellStart"/>
      <w:r w:rsidRPr="00DD4522">
        <w:rPr>
          <w:rFonts w:ascii="CorpoA" w:hAnsi="CorpoA" w:cs="Arial"/>
          <w:sz w:val="18"/>
          <w:szCs w:val="18"/>
          <w:lang w:eastAsia="pt-PT"/>
        </w:rPr>
        <w:t>stakeholders</w:t>
      </w:r>
      <w:proofErr w:type="spellEnd"/>
      <w:r w:rsidRPr="00DD4522">
        <w:rPr>
          <w:rFonts w:ascii="CorpoA" w:hAnsi="CorpoA" w:cs="Arial"/>
          <w:sz w:val="18"/>
          <w:szCs w:val="18"/>
          <w:lang w:eastAsia="pt-PT"/>
        </w:rPr>
        <w:t xml:space="preserve">, a sociedade e o ambiente.  Tem uma ampla representação setorial e agrega empresas de diferentes dimensões, desde as que integram o índice bolsista PSI20 a outras de menor dimensão. O volume de vendas dos associados representa 38% do PIB nacional, 65 mil milhões de euros em volume de negócios e, este grupo de empresas, dá emprego a mais de 270 mil colaboradores. </w:t>
      </w:r>
    </w:p>
    <w:p w:rsidR="00DD4522" w:rsidRDefault="00DD4522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sectPr w:rsidR="00DD45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8B" w:rsidRDefault="002F358B" w:rsidP="00206192">
      <w:r>
        <w:separator/>
      </w:r>
    </w:p>
  </w:endnote>
  <w:endnote w:type="continuationSeparator" w:id="0">
    <w:p w:rsidR="002F358B" w:rsidRDefault="002F358B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4625A4">
    <w:pPr>
      <w:pStyle w:val="Footer"/>
      <w:spacing w:after="0"/>
      <w:rPr>
        <w:rFonts w:ascii="CorpoSLig" w:hAnsi="CorpoSLig"/>
        <w:sz w:val="19"/>
      </w:rPr>
    </w:pPr>
  </w:p>
  <w:p w:rsidR="00B76863" w:rsidRDefault="004625A4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4625A4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4625A4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8B" w:rsidRDefault="002F358B" w:rsidP="00206192">
      <w:r>
        <w:separator/>
      </w:r>
    </w:p>
  </w:footnote>
  <w:footnote w:type="continuationSeparator" w:id="0">
    <w:p w:rsidR="002F358B" w:rsidRDefault="002F358B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4625A4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625A4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4625A4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4625A4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625A4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4625A4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4625A4">
    <w:pPr>
      <w:widowControl w:val="0"/>
      <w:jc w:val="center"/>
      <w:rPr>
        <w:sz w:val="2"/>
      </w:rPr>
    </w:pPr>
  </w:p>
  <w:p w:rsidR="00B76863" w:rsidRDefault="004625A4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4625A4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8773E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Dezembro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9D164E">
            <w:rPr>
              <w:rFonts w:ascii="CorpoA" w:hAnsi="CorpoA"/>
              <w:sz w:val="24"/>
            </w:rPr>
            <w:t>9</w:t>
          </w:r>
        </w:p>
        <w:p w:rsidR="003338CC" w:rsidRPr="00542A94" w:rsidRDefault="004625A4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87B83"/>
    <w:rsid w:val="000B2869"/>
    <w:rsid w:val="000C0D10"/>
    <w:rsid w:val="000C2435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7357E"/>
    <w:rsid w:val="001740C1"/>
    <w:rsid w:val="001954ED"/>
    <w:rsid w:val="001A749E"/>
    <w:rsid w:val="001B0A39"/>
    <w:rsid w:val="001B2D40"/>
    <w:rsid w:val="001C56A4"/>
    <w:rsid w:val="001E1A02"/>
    <w:rsid w:val="001E2D73"/>
    <w:rsid w:val="001E3A77"/>
    <w:rsid w:val="00206192"/>
    <w:rsid w:val="002071A8"/>
    <w:rsid w:val="00226005"/>
    <w:rsid w:val="00237422"/>
    <w:rsid w:val="00256868"/>
    <w:rsid w:val="00262ECA"/>
    <w:rsid w:val="00264415"/>
    <w:rsid w:val="00265474"/>
    <w:rsid w:val="00276FBE"/>
    <w:rsid w:val="00277015"/>
    <w:rsid w:val="00280B5A"/>
    <w:rsid w:val="00286BC0"/>
    <w:rsid w:val="00287A5E"/>
    <w:rsid w:val="002A3133"/>
    <w:rsid w:val="002A3351"/>
    <w:rsid w:val="002D2DE2"/>
    <w:rsid w:val="002D7539"/>
    <w:rsid w:val="002E2A5C"/>
    <w:rsid w:val="002F358B"/>
    <w:rsid w:val="00313781"/>
    <w:rsid w:val="0033455B"/>
    <w:rsid w:val="003835C8"/>
    <w:rsid w:val="003949A5"/>
    <w:rsid w:val="003A7A7C"/>
    <w:rsid w:val="003E3D2B"/>
    <w:rsid w:val="003F06F7"/>
    <w:rsid w:val="004041DF"/>
    <w:rsid w:val="0041495E"/>
    <w:rsid w:val="00445809"/>
    <w:rsid w:val="00445E8E"/>
    <w:rsid w:val="00450451"/>
    <w:rsid w:val="004625A4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B9C"/>
    <w:rsid w:val="005D64E2"/>
    <w:rsid w:val="005E6031"/>
    <w:rsid w:val="005F19E3"/>
    <w:rsid w:val="005F46E0"/>
    <w:rsid w:val="005F7BF1"/>
    <w:rsid w:val="00600EDB"/>
    <w:rsid w:val="00612C65"/>
    <w:rsid w:val="006131AD"/>
    <w:rsid w:val="00625E6F"/>
    <w:rsid w:val="006278A9"/>
    <w:rsid w:val="00631939"/>
    <w:rsid w:val="00637EA1"/>
    <w:rsid w:val="00647A2D"/>
    <w:rsid w:val="00651F51"/>
    <w:rsid w:val="00657059"/>
    <w:rsid w:val="0066323C"/>
    <w:rsid w:val="00672091"/>
    <w:rsid w:val="00692E5C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33C90"/>
    <w:rsid w:val="00752C1D"/>
    <w:rsid w:val="0077142B"/>
    <w:rsid w:val="0077454F"/>
    <w:rsid w:val="00781DDF"/>
    <w:rsid w:val="007A042E"/>
    <w:rsid w:val="007A1D99"/>
    <w:rsid w:val="007A54BE"/>
    <w:rsid w:val="007B7407"/>
    <w:rsid w:val="007D1B3A"/>
    <w:rsid w:val="007D5FE7"/>
    <w:rsid w:val="007E7257"/>
    <w:rsid w:val="0080445C"/>
    <w:rsid w:val="008060ED"/>
    <w:rsid w:val="00810058"/>
    <w:rsid w:val="008166CC"/>
    <w:rsid w:val="008514EF"/>
    <w:rsid w:val="00865843"/>
    <w:rsid w:val="00874B45"/>
    <w:rsid w:val="008773EC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0EC2"/>
    <w:rsid w:val="00954B08"/>
    <w:rsid w:val="0098495C"/>
    <w:rsid w:val="0099285B"/>
    <w:rsid w:val="009A204E"/>
    <w:rsid w:val="009B273B"/>
    <w:rsid w:val="009B74E9"/>
    <w:rsid w:val="009C5882"/>
    <w:rsid w:val="009D164E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1D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64815"/>
    <w:rsid w:val="00B83A1C"/>
    <w:rsid w:val="00B917DB"/>
    <w:rsid w:val="00BA47D6"/>
    <w:rsid w:val="00BA548D"/>
    <w:rsid w:val="00BC1B9A"/>
    <w:rsid w:val="00BC2511"/>
    <w:rsid w:val="00BC34E5"/>
    <w:rsid w:val="00BD36B9"/>
    <w:rsid w:val="00C028CE"/>
    <w:rsid w:val="00C138CD"/>
    <w:rsid w:val="00C20DF3"/>
    <w:rsid w:val="00C41026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D4522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94873"/>
    <w:rsid w:val="00EA0D44"/>
    <w:rsid w:val="00EA52EB"/>
    <w:rsid w:val="00EB409E"/>
    <w:rsid w:val="00EC3B93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29D7"/>
    <w:rsid w:val="00F1376F"/>
    <w:rsid w:val="00F20D57"/>
    <w:rsid w:val="00F24B9C"/>
    <w:rsid w:val="00F26357"/>
    <w:rsid w:val="00F3160E"/>
    <w:rsid w:val="00F3305B"/>
    <w:rsid w:val="00F43928"/>
    <w:rsid w:val="00F468A9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605F2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323-1362-4EFD-B151-AA019A36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5</cp:revision>
  <cp:lastPrinted>2019-01-07T12:00:00Z</cp:lastPrinted>
  <dcterms:created xsi:type="dcterms:W3CDTF">2019-12-09T18:47:00Z</dcterms:created>
  <dcterms:modified xsi:type="dcterms:W3CDTF">2019-12-09T18:52:00Z</dcterms:modified>
</cp:coreProperties>
</file>