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Default="005C30E4" w:rsidP="005C30E4">
      <w:pPr>
        <w:rPr>
          <w:rFonts w:ascii="CorpoA" w:hAnsi="CorpoA"/>
          <w:sz w:val="18"/>
          <w:szCs w:val="18"/>
        </w:rPr>
      </w:pPr>
    </w:p>
    <w:p w:rsidR="00D1250B" w:rsidRDefault="00D1250B" w:rsidP="005C30E4">
      <w:pPr>
        <w:rPr>
          <w:rFonts w:ascii="CorpoA" w:hAnsi="CorpoA"/>
          <w:sz w:val="18"/>
          <w:szCs w:val="18"/>
        </w:rPr>
      </w:pPr>
    </w:p>
    <w:p w:rsidR="007A0CF7" w:rsidRPr="007A0CF7" w:rsidRDefault="007A0CF7" w:rsidP="007A0CF7">
      <w:pPr>
        <w:rPr>
          <w:rFonts w:ascii="CorpoA" w:hAnsi="CorpoA"/>
          <w:color w:val="222A35"/>
          <w:sz w:val="36"/>
          <w:szCs w:val="36"/>
          <w:lang w:eastAsia="en-US"/>
        </w:rPr>
      </w:pPr>
      <w:proofErr w:type="spellStart"/>
      <w:r w:rsidRPr="007A0CF7">
        <w:rPr>
          <w:rFonts w:ascii="CorpoA" w:hAnsi="CorpoA"/>
          <w:color w:val="222A35"/>
          <w:sz w:val="36"/>
          <w:szCs w:val="36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36"/>
          <w:szCs w:val="36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36"/>
          <w:szCs w:val="36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36"/>
          <w:szCs w:val="36"/>
          <w:lang w:eastAsia="en-US"/>
        </w:rPr>
        <w:t xml:space="preserve"> 6 Cabriolet</w:t>
      </w:r>
    </w:p>
    <w:p w:rsidR="007A0CF7" w:rsidRPr="007A0CF7" w:rsidRDefault="007A0CF7" w:rsidP="007A0CF7">
      <w:pPr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No evento deste ano que reúne os mais fantásticos automóveis clássicos do mundo, decorrido em 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Pebble</w:t>
      </w:r>
      <w:proofErr w:type="spell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Beach</w:t>
      </w:r>
      <w:proofErr w:type="spell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, Califórnia, a Mercedes-Benz apresentou, uma vez mais, um veículo</w:t>
      </w:r>
      <w:r w:rsidR="009B7A63">
        <w:rPr>
          <w:rFonts w:ascii="CorpoA" w:hAnsi="CorpoA"/>
          <w:b/>
          <w:color w:val="222A35"/>
          <w:sz w:val="22"/>
          <w:szCs w:val="22"/>
          <w:lang w:eastAsia="en-US"/>
        </w:rPr>
        <w:t xml:space="preserve"> de destaque</w:t>
      </w: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: o 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6 Cabriolet. Trata-se de um </w:t>
      </w:r>
      <w:r w:rsidR="009B7A63">
        <w:rPr>
          <w:rFonts w:ascii="CorpoA" w:hAnsi="CorpoA"/>
          <w:b/>
          <w:color w:val="222A35"/>
          <w:sz w:val="22"/>
          <w:szCs w:val="22"/>
          <w:lang w:eastAsia="en-US"/>
        </w:rPr>
        <w:t>veículo</w:t>
      </w: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que, com a sua sensualidade, caráter emotivo, </w:t>
      </w:r>
      <w:proofErr w:type="gram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atraente e soluções tecnológicas conceptuais e inovadoras, define o derradeiro automóvel de luxo do futuro. Este modelo de dois lugares presta ainda um tributo à "alta-costura automóvel" de modelos </w:t>
      </w:r>
      <w:proofErr w:type="gram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cabriolet</w:t>
      </w:r>
      <w:proofErr w:type="gram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exclusivos fabricados à mão. Este </w:t>
      </w:r>
      <w:proofErr w:type="gram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cabriolet</w:t>
      </w:r>
      <w:proofErr w:type="gram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 de charme é uma reinterpretação dos princípios de design clássicos, mas com um caráter extravagante – combina beleza, proporções estéticas e uma aparência tecnológica e avançada.</w:t>
      </w:r>
      <w:r w:rsidR="009B7A63" w:rsidRPr="009B7A63">
        <w:rPr>
          <w:rFonts w:ascii="CorpoA" w:hAnsi="CorpoA"/>
          <w:b/>
          <w:color w:val="222A35"/>
          <w:sz w:val="22"/>
          <w:szCs w:val="22"/>
          <w:lang w:eastAsia="en-US"/>
        </w:rPr>
        <w:t xml:space="preserve"> </w:t>
      </w:r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 xml:space="preserve">O </w:t>
      </w:r>
      <w:proofErr w:type="spellStart"/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>Vision</w:t>
      </w:r>
      <w:proofErr w:type="spellEnd"/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>Maybach</w:t>
      </w:r>
      <w:proofErr w:type="spellEnd"/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 xml:space="preserve"> 6 Cabriolet foi concebido como veículo elétrico. A sua motorização apresenta uma potência de 550 kW (750 </w:t>
      </w:r>
      <w:proofErr w:type="spellStart"/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>cv</w:t>
      </w:r>
      <w:proofErr w:type="spellEnd"/>
      <w:r w:rsidRPr="009B7A63">
        <w:rPr>
          <w:rFonts w:ascii="CorpoA" w:hAnsi="CorpoA"/>
          <w:b/>
          <w:color w:val="222A35"/>
          <w:sz w:val="22"/>
          <w:szCs w:val="22"/>
          <w:lang w:eastAsia="en-US"/>
        </w:rPr>
        <w:t>). O conjunto de baterias oferece uma autonomia de 500 quilómetros, de acordo com os métodos NEDC.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9B7A63" w:rsidP="007A0CF7">
      <w:pPr>
        <w:spacing w:line="360" w:lineRule="auto"/>
        <w:jc w:val="both"/>
        <w:rPr>
          <w:rFonts w:ascii="CorpoA" w:hAnsi="CorpoA"/>
          <w:b/>
          <w:color w:val="222A35"/>
          <w:sz w:val="22"/>
          <w:szCs w:val="22"/>
          <w:lang w:eastAsia="en-US"/>
        </w:rPr>
      </w:pPr>
      <w:r>
        <w:rPr>
          <w:rFonts w:ascii="CorpoA" w:hAnsi="CorpoA"/>
          <w:b/>
          <w:color w:val="222A35"/>
          <w:sz w:val="22"/>
          <w:szCs w:val="22"/>
          <w:lang w:eastAsia="en-US"/>
        </w:rPr>
        <w:t>E</w:t>
      </w:r>
      <w:r w:rsidR="007A0CF7" w:rsidRPr="007A0CF7">
        <w:rPr>
          <w:rFonts w:ascii="CorpoA" w:hAnsi="CorpoA"/>
          <w:b/>
          <w:color w:val="222A35"/>
          <w:sz w:val="22"/>
          <w:szCs w:val="22"/>
          <w:lang w:eastAsia="en-US"/>
        </w:rPr>
        <w:t>lementos estruturais fortes</w:t>
      </w: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Com quase seis metros de comprimento, 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Cabriolet possui as proporções clássicas de um design "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art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deco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", com o seu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capot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extremamente longo e linhas fluidas. A carroçaria curvada tem um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desportivo e característico. As linhas laterais definem a parte superior da carroçaria, desde a grelha do radiador ao longo de todo o comprimento, até à traseira do veículo.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lastRenderedPageBreak/>
        <w:t xml:space="preserve">O contraste entre a pintura azul-escura metalizada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nautic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e os destaques cromados aumentam a relação de fascínio entre as áreas, claramente definidas nos elementos decorativos cromados da parte superior dos guarda-lamas, bem como na tampa da bagageira, onde também estão incorporadas as luzes verticais de stop. Esta disposição beneficia a interpretação da grelha de radiador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>, a qual acentua a frente do veículo, e assenta em dois suportes de formato aerodinâmico localizados no para-choques.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As jantes de 24 polegadas têm fixação central, a qual está pintada em tons de rosa-dourado e reflete a mesma tonalidade em todos os estudos de veículos elétricos da Mercedes-Benz. O formato alongado e redondo tipo "popa de barco" da traseira do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Cabriolet faz lembrar um iate de luxo. Os faróis traseiros estreitos destacam ainda a largura do veículo e estão integrados nos bordos exteriores. Outras caraterísticas a serem destacadas na parte traseira incluem um difusor com estrutura de alumínio e saídas de ar atrás das cavas das rodas.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A transição entre a traseira do veículo, a zona da bagageira e o habitáculo tem um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muito fluido. A pele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nappa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branco cristal de elevada qualidade cria um contraste entusiasmante com o acabamento escuro da pintura. A capota de fabrico personalizado em tecido está também perfeitamente coordenada com o aspeto do veículo.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b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Interior: um "salão" de luxo aberto a 360°</w:t>
      </w: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Com o interior luxuoso do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Cabriolet, a Mercedes-Benz demonstra uma nova síntese de inteligência e de emoção. Os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designers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combinaram a tradição única da marca com uma experiência de elevada tecnologia até aqui desconhecida.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Este conceito de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reúne o interior e o exterior numa única abordagem completa, total e integrada. O fluxo das áreas traseiras para dentro do habitáculo oferece uma nítida sensação de iate de luxo. As laterais fluem de forma curva e suave ao longo dos frisos das portas e do túnel central, até aos bancos, criando um espaço aberto de luxo a toda a volta.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O novo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confere ao veículo uma caraterística especial. A superfície dos bancos forma um plano horizontal, com transições para o plano vertical das portas, convertendo-</w:t>
      </w:r>
      <w:r w:rsidRPr="007A0CF7">
        <w:rPr>
          <w:rFonts w:ascii="CorpoA" w:hAnsi="CorpoA"/>
          <w:color w:val="222A35"/>
          <w:sz w:val="22"/>
          <w:szCs w:val="22"/>
          <w:lang w:eastAsia="en-US"/>
        </w:rPr>
        <w:lastRenderedPageBreak/>
        <w:t xml:space="preserve">se, finalmente, na parte inferior das laterais do tablier. A juntar aos contornos fluidos, a composição dos materiais produz uma experiência luxuosa da mais elevada ordem. Também aqui a interligação dos contrastes é elegante e de bom gosto. A utilização de cores e materiais autênticos, característicos da marca, como elementos decorativos ou nas superfícies que estão em contacto com a pele, proporciona um acabamento suave e requintado. Nesta técnica de luxo, a pele é disposta num padrão tipo diamante e fixa à estrutura através de botões. No caso do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Cabriolet, esta forma tradicional de estofar os bancos oferece uma interpretação futurista: cada botão individual do almofadado exibe uma estrela Mercedes, delicada e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retroiluminada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a azul. O piso em madeira de poros abertos com inserções em alumínio destaca a sensação de espaço e a ligação ao mundo dos iates de luxo.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O painel de instrumentos liga visivelmente as portas e o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tablier à parte traseira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do habitáculo. Todos os elementos do painel estão integrados num único componente contínuo e envidraçado. Servindo de contraste, os mostradores redondos do painel de instrumentos têm um aspeto clássico e estão em posição de destaque. A utilização de elementos "híper-analógicos" permitiu aos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designers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</w:t>
      </w:r>
      <w:r w:rsidR="009B7A63">
        <w:rPr>
          <w:rFonts w:ascii="CorpoA" w:hAnsi="CorpoA"/>
          <w:color w:val="222A35"/>
          <w:sz w:val="22"/>
          <w:szCs w:val="22"/>
          <w:lang w:eastAsia="en-US"/>
        </w:rPr>
        <w:t>responderem às necessidades dos clientes</w:t>
      </w:r>
      <w:r w:rsidRPr="007A0CF7">
        <w:rPr>
          <w:rFonts w:ascii="CorpoA" w:hAnsi="CorpoA"/>
          <w:color w:val="222A35"/>
          <w:sz w:val="22"/>
          <w:szCs w:val="22"/>
          <w:lang w:eastAsia="en-US"/>
        </w:rPr>
        <w:t>, oferecendo uma experiência analógica e de luxo no meio deste mundo crescente de aparelhos e instrumentos digitais. Num aspeto clássico e com origem na aviação, podemos encontrar três saídas de ar posicionadas atrás das laterais que lembram as asas e os motores de uma aeronave.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>Outro dos pontos de destaque é o túnel central transparente, que mostra toda a linha de transmissão do sistema elétrico aos passageiros, sob a forma de fibra ótica de cor azul.</w:t>
      </w: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As principais funções da motorização, bem como informações referentes à localização do veículo (por. ex., restaurantes recomendados ou outros pontos de interesse) são apresentadas em modo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widescreen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através de dois ecrãs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head-up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>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b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Experiência de utilização: comunicação intuitiva </w:t>
      </w: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Cabriolet foi concebido para antecipar as necessidades dos seus passageiros e oferecer informações e soluções em tempo real. A experiência de utilização também combina o luxo com o fator inteligência. Adicionalmente ao painel de controlo tátil e ao sistema de navegação inteligente com ligação aos eventos do calendário, podemos encontrar outro exemplo desta magnífica experiência no serviço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Concierge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, que permite usar esta funcionalidade como se falássemos para um mordomo, </w:t>
      </w:r>
      <w:r w:rsidRPr="007A0CF7">
        <w:rPr>
          <w:rFonts w:ascii="CorpoA" w:hAnsi="CorpoA"/>
          <w:color w:val="222A35"/>
          <w:sz w:val="22"/>
          <w:szCs w:val="22"/>
          <w:lang w:eastAsia="en-US"/>
        </w:rPr>
        <w:lastRenderedPageBreak/>
        <w:t>isto é, de forma livre e descontraída, sem usar comandos de voz pré-definidos. Isto permite ao condutor concentrar-se no que realmente importa, a condução. Também o estado de saúde e de disposição dos ocupantes é analisado e registado pela mais recente geração de sensores biométricos.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b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 xml:space="preserve">Motorização elétrica com 550 kW (750 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cv</w:t>
      </w:r>
      <w:proofErr w:type="spell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)</w:t>
      </w: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foi concebido como um veículo elétrico. Graças aos quatro motores elétricos simultâneos, compactos e de ímanes permanentes, este modelo possui tração integral às quatro rodas. O conjunto de baterias é plano e está colocado por baixo do piso. Com esta motorização de 550 kW (750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cv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>), obtêm-se as caraterísticas típicas de um automóvel desportivo - acelerações dos 0 aos 100 km/h abaixo dos quatro segundos, velocidade máxima controlada eletronicamente de 250 km/h, e autonomia superior a 500 quilómetros.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A funcionalidade de carga rápida também é evoluída: resultante do método de carga por CC com base na norma CCS, este sistema oferece uma capacidade de carga de até 350 kW. Em apenas cinco minutos de carga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obtem-se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uma autonomia adicional de cerca de 100 quilómetros.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b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O efeito "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wow</w:t>
      </w:r>
      <w:proofErr w:type="spellEnd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!"</w:t>
      </w:r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Graças às suas dimensões generosas, 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Cabriolet (comprimento/largura/altura: 5.700/2.100/1.340 mm) dá continuidade à série de protótipos de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visionário e futurista da Mercedes-Benz. Até agora, este lote inclui 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EnerG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Force (Los Angeles, Novembro de 2012), o MG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Gran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Turismo (Sunnyvale, 2013), 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Tokyo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(Tóquio, 2015) e o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Vision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6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Coupé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(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Pebble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Beach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, 2016). Graças à natureza global da funcionalidade de Design Mercedes-Benz, estes veículos conceptuais são inspirados nas tendências de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design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>, cultura e mobilidade locais, transformando estes aspetos em pontos focais do respetivo conceito de mobilidade. Simultaneamente, estes protótipos são uma visão muito real sobre a mobilidade do futuro próximo.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b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Mercedes-</w:t>
      </w:r>
      <w:proofErr w:type="spellStart"/>
      <w:r w:rsidRPr="007A0CF7">
        <w:rPr>
          <w:rFonts w:ascii="CorpoA" w:hAnsi="CorpoA"/>
          <w:b/>
          <w:color w:val="222A35"/>
          <w:sz w:val="22"/>
          <w:szCs w:val="22"/>
          <w:lang w:eastAsia="en-US"/>
        </w:rPr>
        <w:t>Maybach</w:t>
      </w:r>
      <w:proofErr w:type="spellEnd"/>
    </w:p>
    <w:p w:rsid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>Os modelos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representam o máximo em exclusividade. O público-alvo destes modelos inclui clientes que dão valor ao luxo, ao requinte nos acabamentos perfeitos e aos detalhes excecionais. Os veículos mais recentes incluem modelos </w:t>
      </w:r>
      <w:r w:rsidRPr="007A0CF7">
        <w:rPr>
          <w:rFonts w:ascii="CorpoA" w:hAnsi="CorpoA"/>
          <w:color w:val="222A35"/>
          <w:sz w:val="22"/>
          <w:szCs w:val="22"/>
          <w:lang w:eastAsia="en-US"/>
        </w:rPr>
        <w:lastRenderedPageBreak/>
        <w:t>lançados em julho de 2017, nomeadamente o Mercedes-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S 560 4MATIC, (consumos combinados: 9,3 l/100 km; emissões de CO2 combinadas: 209 g/km) e o S 650 (consumos combinados: 12,7 l/100 km; emissões de CO2 combinadas: 289 g/km), que misturam na perfeição a beleza e a tecnologia do Mercedes-Benz Classe S com a exclusividade da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>.</w:t>
      </w:r>
    </w:p>
    <w:p w:rsidR="007A0CF7" w:rsidRPr="007A0CF7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</w:p>
    <w:p w:rsidR="00346DB8" w:rsidRPr="00346DB8" w:rsidRDefault="007A0CF7" w:rsidP="007A0CF7">
      <w:pPr>
        <w:spacing w:line="360" w:lineRule="auto"/>
        <w:jc w:val="both"/>
        <w:rPr>
          <w:rFonts w:ascii="CorpoA" w:hAnsi="CorpoA"/>
          <w:color w:val="222A35"/>
          <w:sz w:val="22"/>
          <w:szCs w:val="22"/>
          <w:lang w:eastAsia="en-US"/>
        </w:rPr>
      </w:pPr>
      <w:r w:rsidRPr="007A0CF7">
        <w:rPr>
          <w:rFonts w:ascii="CorpoA" w:hAnsi="CorpoA"/>
          <w:color w:val="222A35"/>
          <w:sz w:val="22"/>
          <w:szCs w:val="22"/>
          <w:lang w:eastAsia="en-US"/>
        </w:rPr>
        <w:t>Com edição limita</w:t>
      </w:r>
      <w:r w:rsidR="009B7A63">
        <w:rPr>
          <w:rFonts w:ascii="CorpoA" w:hAnsi="CorpoA"/>
          <w:color w:val="222A35"/>
          <w:sz w:val="22"/>
          <w:szCs w:val="22"/>
          <w:lang w:eastAsia="en-US"/>
        </w:rPr>
        <w:t>da a 300 exemplares, o Mercedes-</w:t>
      </w:r>
      <w:bookmarkStart w:id="0" w:name="_GoBack"/>
      <w:bookmarkEnd w:id="0"/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Classe S Cabriolet (consumos combinados: 12,0 l/100 km, emissões de CO2 combinadas: 272 g/km) é o primeiro top </w:t>
      </w:r>
      <w:proofErr w:type="spellStart"/>
      <w:r w:rsidRPr="007A0CF7">
        <w:rPr>
          <w:rFonts w:ascii="CorpoA" w:hAnsi="CorpoA"/>
          <w:color w:val="222A35"/>
          <w:sz w:val="22"/>
          <w:szCs w:val="22"/>
          <w:lang w:eastAsia="en-US"/>
        </w:rPr>
        <w:t>Maybach</w:t>
      </w:r>
      <w:proofErr w:type="spellEnd"/>
      <w:r w:rsidRPr="007A0CF7">
        <w:rPr>
          <w:rFonts w:ascii="CorpoA" w:hAnsi="CorpoA"/>
          <w:color w:val="222A35"/>
          <w:sz w:val="22"/>
          <w:szCs w:val="22"/>
          <w:lang w:eastAsia="en-US"/>
        </w:rPr>
        <w:t xml:space="preserve"> descapotável das últimas décadas, numa homenagem ao requinte dos automóveis </w:t>
      </w:r>
      <w:proofErr w:type="gramStart"/>
      <w:r w:rsidRPr="007A0CF7">
        <w:rPr>
          <w:rFonts w:ascii="CorpoA" w:hAnsi="CorpoA"/>
          <w:color w:val="222A35"/>
          <w:sz w:val="22"/>
          <w:szCs w:val="22"/>
          <w:lang w:eastAsia="en-US"/>
        </w:rPr>
        <w:t>cabriolet</w:t>
      </w:r>
      <w:proofErr w:type="gramEnd"/>
      <w:r w:rsidRPr="007A0CF7">
        <w:rPr>
          <w:rFonts w:ascii="CorpoA" w:hAnsi="CorpoA"/>
          <w:color w:val="222A35"/>
          <w:sz w:val="22"/>
          <w:szCs w:val="22"/>
          <w:lang w:eastAsia="en-US"/>
        </w:rPr>
        <w:t>.</w:t>
      </w:r>
    </w:p>
    <w:p w:rsidR="00346DB8" w:rsidRDefault="00346DB8" w:rsidP="00346DB8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sectPr w:rsidR="00346D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AA" w:rsidRDefault="00C740AA" w:rsidP="00206192">
      <w:r>
        <w:separator/>
      </w:r>
    </w:p>
  </w:endnote>
  <w:endnote w:type="continuationSeparator" w:id="0">
    <w:p w:rsidR="00C740AA" w:rsidRDefault="00C740AA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9B7A63">
    <w:pPr>
      <w:pStyle w:val="Footer"/>
      <w:spacing w:after="0"/>
      <w:rPr>
        <w:rFonts w:ascii="CorpoSLig" w:hAnsi="CorpoSLig"/>
        <w:sz w:val="19"/>
      </w:rPr>
    </w:pPr>
  </w:p>
  <w:p w:rsidR="00B76863" w:rsidRDefault="009B7A63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9B7A63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9B7A63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AA" w:rsidRDefault="00C740AA" w:rsidP="00206192">
      <w:r>
        <w:separator/>
      </w:r>
    </w:p>
  </w:footnote>
  <w:footnote w:type="continuationSeparator" w:id="0">
    <w:p w:rsidR="00C740AA" w:rsidRDefault="00C740AA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29AB5466" wp14:editId="2CD19F67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9B7A63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B7A63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9B7A63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B5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9B7A63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B7A63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9B7A63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A63">
    <w:pPr>
      <w:widowControl w:val="0"/>
      <w:jc w:val="center"/>
      <w:rPr>
        <w:sz w:val="2"/>
      </w:rPr>
    </w:pPr>
  </w:p>
  <w:p w:rsidR="00B76863" w:rsidRDefault="009B7A63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9B7A6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A6067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Agosto</w:t>
          </w:r>
          <w:r w:rsidR="001061C8">
            <w:rPr>
              <w:rFonts w:ascii="CorpoA" w:hAnsi="CorpoA"/>
              <w:sz w:val="24"/>
            </w:rPr>
            <w:t xml:space="preserve"> </w:t>
          </w:r>
          <w:r w:rsidR="009B74E9">
            <w:rPr>
              <w:rFonts w:ascii="CorpoA" w:hAnsi="CorpoA"/>
              <w:sz w:val="24"/>
            </w:rPr>
            <w:t>de 201</w:t>
          </w:r>
          <w:r w:rsidR="007F6C94">
            <w:rPr>
              <w:rFonts w:ascii="CorpoA" w:hAnsi="CorpoA"/>
              <w:sz w:val="24"/>
            </w:rPr>
            <w:t>7</w:t>
          </w:r>
        </w:p>
        <w:p w:rsidR="003338CC" w:rsidRPr="00542A94" w:rsidRDefault="009B7A6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00DCFDCD" wp14:editId="39014A9C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F7C"/>
    <w:multiLevelType w:val="hybridMultilevel"/>
    <w:tmpl w:val="0D44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563"/>
    <w:multiLevelType w:val="hybridMultilevel"/>
    <w:tmpl w:val="9546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031"/>
    <w:multiLevelType w:val="hybridMultilevel"/>
    <w:tmpl w:val="8CB46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C3935B1"/>
    <w:multiLevelType w:val="hybridMultilevel"/>
    <w:tmpl w:val="F2427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3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4"/>
  </w:num>
  <w:num w:numId="20">
    <w:abstractNumId w:val="8"/>
  </w:num>
  <w:num w:numId="21">
    <w:abstractNumId w:val="3"/>
  </w:num>
  <w:num w:numId="22">
    <w:abstractNumId w:val="11"/>
  </w:num>
  <w:num w:numId="23">
    <w:abstractNumId w:val="4"/>
  </w:num>
  <w:num w:numId="24">
    <w:abstractNumId w:val="1"/>
  </w:num>
  <w:num w:numId="25">
    <w:abstractNumId w:val="7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152C"/>
    <w:rsid w:val="00052CB7"/>
    <w:rsid w:val="00054E47"/>
    <w:rsid w:val="000571D8"/>
    <w:rsid w:val="0006022B"/>
    <w:rsid w:val="00065BAC"/>
    <w:rsid w:val="00066E2F"/>
    <w:rsid w:val="00066FF5"/>
    <w:rsid w:val="000713F4"/>
    <w:rsid w:val="00076794"/>
    <w:rsid w:val="000808F3"/>
    <w:rsid w:val="00086ED2"/>
    <w:rsid w:val="000A01DD"/>
    <w:rsid w:val="000A18E7"/>
    <w:rsid w:val="000A2775"/>
    <w:rsid w:val="000A3586"/>
    <w:rsid w:val="000B2869"/>
    <w:rsid w:val="000C0D10"/>
    <w:rsid w:val="000C2471"/>
    <w:rsid w:val="000C257F"/>
    <w:rsid w:val="000C651C"/>
    <w:rsid w:val="000D7A86"/>
    <w:rsid w:val="000E62BA"/>
    <w:rsid w:val="000E69A7"/>
    <w:rsid w:val="000F5636"/>
    <w:rsid w:val="001007C1"/>
    <w:rsid w:val="0010162F"/>
    <w:rsid w:val="001061C8"/>
    <w:rsid w:val="00111FBE"/>
    <w:rsid w:val="00124FA1"/>
    <w:rsid w:val="00133A32"/>
    <w:rsid w:val="0014348A"/>
    <w:rsid w:val="00146B0A"/>
    <w:rsid w:val="00150BF4"/>
    <w:rsid w:val="00150F3B"/>
    <w:rsid w:val="00157391"/>
    <w:rsid w:val="001740C1"/>
    <w:rsid w:val="00177F28"/>
    <w:rsid w:val="0018725D"/>
    <w:rsid w:val="001A749E"/>
    <w:rsid w:val="001C2EC1"/>
    <w:rsid w:val="001C56A4"/>
    <w:rsid w:val="001E1A02"/>
    <w:rsid w:val="001E28F0"/>
    <w:rsid w:val="001E2D73"/>
    <w:rsid w:val="001F3E2E"/>
    <w:rsid w:val="002057FC"/>
    <w:rsid w:val="00206192"/>
    <w:rsid w:val="00212B66"/>
    <w:rsid w:val="00217020"/>
    <w:rsid w:val="00226005"/>
    <w:rsid w:val="00237422"/>
    <w:rsid w:val="00256868"/>
    <w:rsid w:val="00262ECA"/>
    <w:rsid w:val="002642B6"/>
    <w:rsid w:val="00264415"/>
    <w:rsid w:val="002723B3"/>
    <w:rsid w:val="00276FBE"/>
    <w:rsid w:val="00277015"/>
    <w:rsid w:val="00294044"/>
    <w:rsid w:val="002A3133"/>
    <w:rsid w:val="002A3351"/>
    <w:rsid w:val="002A69AE"/>
    <w:rsid w:val="002B29AA"/>
    <w:rsid w:val="002C175F"/>
    <w:rsid w:val="002D2DE2"/>
    <w:rsid w:val="003244A9"/>
    <w:rsid w:val="003279C9"/>
    <w:rsid w:val="0033455B"/>
    <w:rsid w:val="00343DFF"/>
    <w:rsid w:val="00344DFB"/>
    <w:rsid w:val="00346DB8"/>
    <w:rsid w:val="00351EF8"/>
    <w:rsid w:val="0035525D"/>
    <w:rsid w:val="00366E38"/>
    <w:rsid w:val="00382B5B"/>
    <w:rsid w:val="0038321B"/>
    <w:rsid w:val="003835C8"/>
    <w:rsid w:val="003949A5"/>
    <w:rsid w:val="003A30E4"/>
    <w:rsid w:val="003A6BC2"/>
    <w:rsid w:val="003A7A7C"/>
    <w:rsid w:val="003B459E"/>
    <w:rsid w:val="003C2928"/>
    <w:rsid w:val="003D3E7C"/>
    <w:rsid w:val="003E3D2B"/>
    <w:rsid w:val="003E4C9E"/>
    <w:rsid w:val="004041DF"/>
    <w:rsid w:val="0041495E"/>
    <w:rsid w:val="004169B2"/>
    <w:rsid w:val="00420E5E"/>
    <w:rsid w:val="004231DE"/>
    <w:rsid w:val="00424FF8"/>
    <w:rsid w:val="00445E8E"/>
    <w:rsid w:val="004469AC"/>
    <w:rsid w:val="00446D00"/>
    <w:rsid w:val="00450451"/>
    <w:rsid w:val="00457ADB"/>
    <w:rsid w:val="00464447"/>
    <w:rsid w:val="00464B61"/>
    <w:rsid w:val="00482583"/>
    <w:rsid w:val="004911EA"/>
    <w:rsid w:val="00492AC1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501265"/>
    <w:rsid w:val="00506F39"/>
    <w:rsid w:val="00510A46"/>
    <w:rsid w:val="005202C3"/>
    <w:rsid w:val="00533DFC"/>
    <w:rsid w:val="00542950"/>
    <w:rsid w:val="00542B7D"/>
    <w:rsid w:val="005522A3"/>
    <w:rsid w:val="005548A9"/>
    <w:rsid w:val="00554DFB"/>
    <w:rsid w:val="00566B56"/>
    <w:rsid w:val="00570FD0"/>
    <w:rsid w:val="00571CB8"/>
    <w:rsid w:val="00573A1B"/>
    <w:rsid w:val="0058224A"/>
    <w:rsid w:val="005906D8"/>
    <w:rsid w:val="005910B9"/>
    <w:rsid w:val="005A5519"/>
    <w:rsid w:val="005B1B82"/>
    <w:rsid w:val="005C30E4"/>
    <w:rsid w:val="005C5BAB"/>
    <w:rsid w:val="005C5E02"/>
    <w:rsid w:val="005D64D3"/>
    <w:rsid w:val="005E5826"/>
    <w:rsid w:val="005E5835"/>
    <w:rsid w:val="005E6031"/>
    <w:rsid w:val="005E7EA4"/>
    <w:rsid w:val="005F06DB"/>
    <w:rsid w:val="005F19E3"/>
    <w:rsid w:val="005F46E0"/>
    <w:rsid w:val="005F7BF1"/>
    <w:rsid w:val="00600EDB"/>
    <w:rsid w:val="00610D55"/>
    <w:rsid w:val="006131AD"/>
    <w:rsid w:val="006168FE"/>
    <w:rsid w:val="00625E6F"/>
    <w:rsid w:val="006278A9"/>
    <w:rsid w:val="00631939"/>
    <w:rsid w:val="00632ABB"/>
    <w:rsid w:val="00637EA1"/>
    <w:rsid w:val="0064160F"/>
    <w:rsid w:val="00644CF5"/>
    <w:rsid w:val="00657059"/>
    <w:rsid w:val="00657B9D"/>
    <w:rsid w:val="0066323C"/>
    <w:rsid w:val="006647DF"/>
    <w:rsid w:val="00672091"/>
    <w:rsid w:val="00692E5C"/>
    <w:rsid w:val="0069600A"/>
    <w:rsid w:val="006B6C6C"/>
    <w:rsid w:val="006C0784"/>
    <w:rsid w:val="006C2662"/>
    <w:rsid w:val="006C427D"/>
    <w:rsid w:val="006D0BFA"/>
    <w:rsid w:val="006D3FA8"/>
    <w:rsid w:val="006D5E8E"/>
    <w:rsid w:val="006D76D6"/>
    <w:rsid w:val="006E5100"/>
    <w:rsid w:val="006E57DB"/>
    <w:rsid w:val="006E6F88"/>
    <w:rsid w:val="00701D68"/>
    <w:rsid w:val="00702586"/>
    <w:rsid w:val="0070346A"/>
    <w:rsid w:val="00703FDB"/>
    <w:rsid w:val="00715B84"/>
    <w:rsid w:val="00715F62"/>
    <w:rsid w:val="00730DC0"/>
    <w:rsid w:val="0077454F"/>
    <w:rsid w:val="007811C1"/>
    <w:rsid w:val="00781DDF"/>
    <w:rsid w:val="007A042E"/>
    <w:rsid w:val="007A0CF7"/>
    <w:rsid w:val="007B1365"/>
    <w:rsid w:val="007B7407"/>
    <w:rsid w:val="007C2ABF"/>
    <w:rsid w:val="007D1B3A"/>
    <w:rsid w:val="007D4225"/>
    <w:rsid w:val="007D5B45"/>
    <w:rsid w:val="007D5FE7"/>
    <w:rsid w:val="007D79FD"/>
    <w:rsid w:val="007E7257"/>
    <w:rsid w:val="007F6C94"/>
    <w:rsid w:val="008060ED"/>
    <w:rsid w:val="00814604"/>
    <w:rsid w:val="00830802"/>
    <w:rsid w:val="00846092"/>
    <w:rsid w:val="008514EF"/>
    <w:rsid w:val="00865843"/>
    <w:rsid w:val="00874B45"/>
    <w:rsid w:val="00884B64"/>
    <w:rsid w:val="00891289"/>
    <w:rsid w:val="00893CF5"/>
    <w:rsid w:val="008A130E"/>
    <w:rsid w:val="008A1F30"/>
    <w:rsid w:val="008A3FE8"/>
    <w:rsid w:val="008A782E"/>
    <w:rsid w:val="008B4C26"/>
    <w:rsid w:val="008B58FA"/>
    <w:rsid w:val="008B7952"/>
    <w:rsid w:val="008C0FAE"/>
    <w:rsid w:val="008C66EA"/>
    <w:rsid w:val="008E6A70"/>
    <w:rsid w:val="008F412D"/>
    <w:rsid w:val="008F45B2"/>
    <w:rsid w:val="00901FDB"/>
    <w:rsid w:val="00907161"/>
    <w:rsid w:val="00911B04"/>
    <w:rsid w:val="009154AF"/>
    <w:rsid w:val="00924708"/>
    <w:rsid w:val="00925A97"/>
    <w:rsid w:val="00930811"/>
    <w:rsid w:val="00940C2D"/>
    <w:rsid w:val="009511B2"/>
    <w:rsid w:val="00954B08"/>
    <w:rsid w:val="00972943"/>
    <w:rsid w:val="0098495C"/>
    <w:rsid w:val="0099285B"/>
    <w:rsid w:val="00994685"/>
    <w:rsid w:val="00995B38"/>
    <w:rsid w:val="009A1B64"/>
    <w:rsid w:val="009B273B"/>
    <w:rsid w:val="009B32CE"/>
    <w:rsid w:val="009B74E9"/>
    <w:rsid w:val="009B7A63"/>
    <w:rsid w:val="009C5882"/>
    <w:rsid w:val="009D0C19"/>
    <w:rsid w:val="00A0712E"/>
    <w:rsid w:val="00A07D33"/>
    <w:rsid w:val="00A234CC"/>
    <w:rsid w:val="00A25D1E"/>
    <w:rsid w:val="00A271AE"/>
    <w:rsid w:val="00A34508"/>
    <w:rsid w:val="00A3589D"/>
    <w:rsid w:val="00A4017B"/>
    <w:rsid w:val="00A52871"/>
    <w:rsid w:val="00A6067C"/>
    <w:rsid w:val="00A6501E"/>
    <w:rsid w:val="00A73A1A"/>
    <w:rsid w:val="00A75207"/>
    <w:rsid w:val="00A75FA0"/>
    <w:rsid w:val="00A76DB6"/>
    <w:rsid w:val="00A81C39"/>
    <w:rsid w:val="00A82289"/>
    <w:rsid w:val="00A83AE0"/>
    <w:rsid w:val="00A849C4"/>
    <w:rsid w:val="00A86613"/>
    <w:rsid w:val="00A91025"/>
    <w:rsid w:val="00A92D74"/>
    <w:rsid w:val="00AA69FB"/>
    <w:rsid w:val="00AB2ABB"/>
    <w:rsid w:val="00AB45B6"/>
    <w:rsid w:val="00AB585F"/>
    <w:rsid w:val="00AC351A"/>
    <w:rsid w:val="00AC494E"/>
    <w:rsid w:val="00AC64F2"/>
    <w:rsid w:val="00AC7E2A"/>
    <w:rsid w:val="00AD0A80"/>
    <w:rsid w:val="00AD7645"/>
    <w:rsid w:val="00AD7775"/>
    <w:rsid w:val="00AE060C"/>
    <w:rsid w:val="00AE3017"/>
    <w:rsid w:val="00AE495D"/>
    <w:rsid w:val="00AF3198"/>
    <w:rsid w:val="00AF31DD"/>
    <w:rsid w:val="00AF6E91"/>
    <w:rsid w:val="00B038F6"/>
    <w:rsid w:val="00B11514"/>
    <w:rsid w:val="00B148D1"/>
    <w:rsid w:val="00B35D9F"/>
    <w:rsid w:val="00B5310B"/>
    <w:rsid w:val="00B537B7"/>
    <w:rsid w:val="00B6209B"/>
    <w:rsid w:val="00B6457F"/>
    <w:rsid w:val="00B83A1C"/>
    <w:rsid w:val="00B902DD"/>
    <w:rsid w:val="00BA47D6"/>
    <w:rsid w:val="00BA6CF4"/>
    <w:rsid w:val="00BC1B9A"/>
    <w:rsid w:val="00BC34E5"/>
    <w:rsid w:val="00C028CE"/>
    <w:rsid w:val="00C14DBE"/>
    <w:rsid w:val="00C41026"/>
    <w:rsid w:val="00C43B3F"/>
    <w:rsid w:val="00C5166D"/>
    <w:rsid w:val="00C615D5"/>
    <w:rsid w:val="00C67D76"/>
    <w:rsid w:val="00C740AA"/>
    <w:rsid w:val="00C75D15"/>
    <w:rsid w:val="00C8050F"/>
    <w:rsid w:val="00C916C9"/>
    <w:rsid w:val="00CA1F50"/>
    <w:rsid w:val="00CC33E6"/>
    <w:rsid w:val="00CC440B"/>
    <w:rsid w:val="00CD31BA"/>
    <w:rsid w:val="00CD6A99"/>
    <w:rsid w:val="00CD701F"/>
    <w:rsid w:val="00CE12F7"/>
    <w:rsid w:val="00CE5DD1"/>
    <w:rsid w:val="00CF1029"/>
    <w:rsid w:val="00CF44D4"/>
    <w:rsid w:val="00D0000E"/>
    <w:rsid w:val="00D1250B"/>
    <w:rsid w:val="00D12639"/>
    <w:rsid w:val="00D207F9"/>
    <w:rsid w:val="00D210A0"/>
    <w:rsid w:val="00D30059"/>
    <w:rsid w:val="00D30AE7"/>
    <w:rsid w:val="00D41958"/>
    <w:rsid w:val="00D43856"/>
    <w:rsid w:val="00D466D7"/>
    <w:rsid w:val="00D47213"/>
    <w:rsid w:val="00D54E7E"/>
    <w:rsid w:val="00D5716C"/>
    <w:rsid w:val="00D62D28"/>
    <w:rsid w:val="00D64466"/>
    <w:rsid w:val="00D8370E"/>
    <w:rsid w:val="00D92CBF"/>
    <w:rsid w:val="00D95FFC"/>
    <w:rsid w:val="00D97459"/>
    <w:rsid w:val="00DB1331"/>
    <w:rsid w:val="00DB1F9B"/>
    <w:rsid w:val="00DB2AD8"/>
    <w:rsid w:val="00DB7A53"/>
    <w:rsid w:val="00DC6407"/>
    <w:rsid w:val="00DE2346"/>
    <w:rsid w:val="00DF671B"/>
    <w:rsid w:val="00E07DB0"/>
    <w:rsid w:val="00E129C3"/>
    <w:rsid w:val="00E1419A"/>
    <w:rsid w:val="00E35BC1"/>
    <w:rsid w:val="00E408D5"/>
    <w:rsid w:val="00E469DD"/>
    <w:rsid w:val="00E53789"/>
    <w:rsid w:val="00E540E8"/>
    <w:rsid w:val="00E55259"/>
    <w:rsid w:val="00E65A27"/>
    <w:rsid w:val="00E66182"/>
    <w:rsid w:val="00E709DD"/>
    <w:rsid w:val="00E767AD"/>
    <w:rsid w:val="00E76D44"/>
    <w:rsid w:val="00E80971"/>
    <w:rsid w:val="00E94873"/>
    <w:rsid w:val="00EA52EB"/>
    <w:rsid w:val="00EB409E"/>
    <w:rsid w:val="00EC797F"/>
    <w:rsid w:val="00ED11B8"/>
    <w:rsid w:val="00ED42C2"/>
    <w:rsid w:val="00ED4BCF"/>
    <w:rsid w:val="00ED7900"/>
    <w:rsid w:val="00EE3F99"/>
    <w:rsid w:val="00EE41F0"/>
    <w:rsid w:val="00EF4EE5"/>
    <w:rsid w:val="00EF59DA"/>
    <w:rsid w:val="00EF759C"/>
    <w:rsid w:val="00F0564F"/>
    <w:rsid w:val="00F11052"/>
    <w:rsid w:val="00F11310"/>
    <w:rsid w:val="00F1376F"/>
    <w:rsid w:val="00F22B95"/>
    <w:rsid w:val="00F24B9C"/>
    <w:rsid w:val="00F26357"/>
    <w:rsid w:val="00F301FE"/>
    <w:rsid w:val="00F3160E"/>
    <w:rsid w:val="00F329C7"/>
    <w:rsid w:val="00F3305B"/>
    <w:rsid w:val="00F33543"/>
    <w:rsid w:val="00F43928"/>
    <w:rsid w:val="00F51C6D"/>
    <w:rsid w:val="00F533C0"/>
    <w:rsid w:val="00F56B13"/>
    <w:rsid w:val="00F57601"/>
    <w:rsid w:val="00F64193"/>
    <w:rsid w:val="00F709EC"/>
    <w:rsid w:val="00F7206A"/>
    <w:rsid w:val="00F84126"/>
    <w:rsid w:val="00F853A4"/>
    <w:rsid w:val="00F87130"/>
    <w:rsid w:val="00F96B7A"/>
    <w:rsid w:val="00FA1209"/>
    <w:rsid w:val="00FA12DD"/>
    <w:rsid w:val="00FA35D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C7B02E3-36B9-4B23-88BF-597A736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uiPriority w:val="99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uiPriority w:val="99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99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uiPriority w:val="99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A01D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B2AD8"/>
  </w:style>
  <w:style w:type="table" w:styleId="TableGrid">
    <w:name w:val="Table Grid"/>
    <w:basedOn w:val="TableNormal"/>
    <w:uiPriority w:val="59"/>
    <w:rsid w:val="00D2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0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48D2-F372-471D-8A89-4DFAFF4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3</cp:revision>
  <cp:lastPrinted>2017-08-18T15:28:00Z</cp:lastPrinted>
  <dcterms:created xsi:type="dcterms:W3CDTF">2017-08-23T11:21:00Z</dcterms:created>
  <dcterms:modified xsi:type="dcterms:W3CDTF">2017-08-23T11:46:00Z</dcterms:modified>
</cp:coreProperties>
</file>