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96069A3" w:rsidR="008D5D38" w:rsidRPr="00487FB2" w:rsidRDefault="00DD4A25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abril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6585E0D7" w14:textId="5A1C60F6" w:rsidR="003A4513" w:rsidRDefault="00C762FC" w:rsidP="00320431">
      <w:pPr>
        <w:pStyle w:val="01Flietext"/>
        <w:rPr>
          <w:rFonts w:ascii="MB Corpo A Title Cond Office" w:hAnsi="MB Corpo A Title Cond Office"/>
          <w:sz w:val="28"/>
        </w:rPr>
      </w:pPr>
      <w:r w:rsidRPr="00C762FC">
        <w:rPr>
          <w:rFonts w:ascii="MB Corpo A Title Cond Office" w:hAnsi="MB Corpo A Title Cond Office"/>
          <w:sz w:val="28"/>
        </w:rPr>
        <w:t>Grupo Mercedes-Benz apresenta resultados sólidos no primeiro trimestre num ambiente de mercado dinâmico</w:t>
      </w:r>
    </w:p>
    <w:p w14:paraId="2EC51EB6" w14:textId="77777777" w:rsidR="00C762FC" w:rsidRPr="00D974A1" w:rsidRDefault="00C762FC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0125C922" w14:textId="77777777" w:rsidR="0046534B" w:rsidRPr="00CC511B" w:rsidRDefault="0046534B" w:rsidP="0044524A">
      <w:pPr>
        <w:pStyle w:val="02Flietextbold"/>
        <w:numPr>
          <w:ilvl w:val="0"/>
          <w:numId w:val="42"/>
        </w:numPr>
      </w:pPr>
      <w:r w:rsidRPr="0046534B">
        <w:t xml:space="preserve">Retorno sobre vendas (RoS): Margens ajustadas de retorno sobre vendas (RoS) para Mercedes-Benz Cars (7,3%), Mercedes-Benz Vans (11,6%) e retorno ajustado sobre o </w:t>
      </w:r>
      <w:r w:rsidRPr="00CC511B">
        <w:t>capital próprio (RoE) Mercedes-Benz Mobility (8,6%) em linha com a previsão para 2025</w:t>
      </w:r>
    </w:p>
    <w:p w14:paraId="6E7826A1" w14:textId="71A8A875" w:rsidR="007B046F" w:rsidRPr="00CC511B" w:rsidRDefault="00E66509" w:rsidP="0044524A">
      <w:pPr>
        <w:pStyle w:val="02Flietextbold"/>
        <w:numPr>
          <w:ilvl w:val="0"/>
          <w:numId w:val="42"/>
        </w:numPr>
      </w:pPr>
      <w:r w:rsidRPr="00CC511B">
        <w:t>Base</w:t>
      </w:r>
      <w:r w:rsidR="007B046F" w:rsidRPr="00CC511B">
        <w:t xml:space="preserve"> sólida: Liquidez líquida de €33 mil milhões, uma base saudável para navegar através da incerteza</w:t>
      </w:r>
    </w:p>
    <w:p w14:paraId="7E0F153A" w14:textId="77777777" w:rsidR="0000490D" w:rsidRPr="00CC511B" w:rsidRDefault="0000490D" w:rsidP="003A28E0">
      <w:pPr>
        <w:pStyle w:val="02Flietextbold"/>
        <w:numPr>
          <w:ilvl w:val="0"/>
          <w:numId w:val="42"/>
        </w:numPr>
      </w:pPr>
      <w:r w:rsidRPr="00CC511B">
        <w:t>Ofensiva de produtos: CLA celebrou a sua estreia mundial no primeiro trimestre, reforçando a estratégia de veículos elétricos e inovações digitais; Vision V oferece uma visão do futuro modelo topo de gama “Mercedes-Benz VLS”</w:t>
      </w:r>
    </w:p>
    <w:p w14:paraId="05D09540" w14:textId="639A1C4E" w:rsidR="009331A4" w:rsidRPr="00CC511B" w:rsidRDefault="0000490D" w:rsidP="003A28E0">
      <w:pPr>
        <w:pStyle w:val="02Flietextbold"/>
        <w:numPr>
          <w:ilvl w:val="0"/>
          <w:numId w:val="42"/>
        </w:numPr>
      </w:pPr>
      <w:r w:rsidRPr="00CC511B">
        <w:t>Segmento de topo: A quota de veículos topo de gama atingiu 15%, impulsionada pelas vendas da Mercedes-AMG (+17%) e d</w:t>
      </w:r>
      <w:r w:rsidR="006100C2">
        <w:t>o</w:t>
      </w:r>
      <w:r w:rsidRPr="00CC511B">
        <w:t xml:space="preserve"> Classe G (+18%)</w:t>
      </w:r>
    </w:p>
    <w:p w14:paraId="4654F4E5" w14:textId="3AEE3B91" w:rsidR="0000490D" w:rsidRPr="00CC511B" w:rsidRDefault="003472FD" w:rsidP="003A28E0">
      <w:pPr>
        <w:pStyle w:val="02Flietextbold"/>
        <w:numPr>
          <w:ilvl w:val="0"/>
          <w:numId w:val="42"/>
        </w:numPr>
      </w:pPr>
      <w:r w:rsidRPr="00CC511B">
        <w:t>Eletrificação</w:t>
      </w:r>
      <w:r w:rsidR="0059163D" w:rsidRPr="00CC511B">
        <w:t>: Os veículos eletrificados (xEV) da Mercedes-Benz Cars representaram 19% das vendas globais, com o mercado europeu a atingir 37% e fortes vendas de PHEV (+8%); as vendas de BEV de Vans aumentaram 59%</w:t>
      </w:r>
    </w:p>
    <w:p w14:paraId="0F5B3B12" w14:textId="4526C669" w:rsidR="0059163D" w:rsidRPr="00CC511B" w:rsidRDefault="003472FD" w:rsidP="003A28E0">
      <w:pPr>
        <w:pStyle w:val="02Flietextbold"/>
        <w:numPr>
          <w:ilvl w:val="0"/>
          <w:numId w:val="42"/>
        </w:numPr>
      </w:pPr>
      <w:r w:rsidRPr="00CC511B">
        <w:t>Perspetiva</w:t>
      </w:r>
      <w:r w:rsidR="0059163D" w:rsidRPr="00CC511B">
        <w:t xml:space="preserve">: A orientação do Grupo e das divisões permaneceria inalterada antes de considerar qualquer impacto adicional das tarifas. No entanto, assumindo que todas as tarifas atualmente implementadas e anunciadas se tornem efetivas e permaneçam em vigor até ao final do ano, são esperados impactos </w:t>
      </w:r>
      <w:r w:rsidR="00E66509" w:rsidRPr="00CC511B">
        <w:t>relevantes</w:t>
      </w:r>
      <w:r w:rsidR="0059163D" w:rsidRPr="00CC511B">
        <w:t xml:space="preserve">. A atual volatilidade em relação às políticas tarifárias, medidas de mitigação e os potenciais efeitos diretos e indiretos resultantes, em particular no comportamento e na </w:t>
      </w:r>
      <w:r w:rsidR="00E66509" w:rsidRPr="00CC511B">
        <w:t>procura</w:t>
      </w:r>
      <w:r w:rsidR="0059163D" w:rsidRPr="00CC511B">
        <w:t xml:space="preserve"> dos clientes, é demasiado alta para avaliar de forma confiável o desenvolvimento dos negócios para o restante do ano.</w:t>
      </w:r>
    </w:p>
    <w:p w14:paraId="430D0B4F" w14:textId="77777777" w:rsidR="00741927" w:rsidRPr="00CC511B" w:rsidRDefault="00741927" w:rsidP="00741927">
      <w:pPr>
        <w:pStyle w:val="02Flietextbold"/>
        <w:ind w:left="360"/>
      </w:pPr>
    </w:p>
    <w:p w14:paraId="7EE4145E" w14:textId="0791C68C" w:rsidR="0059163D" w:rsidRPr="00CC511B" w:rsidRDefault="0059163D" w:rsidP="0059163D">
      <w:pPr>
        <w:spacing w:line="240" w:lineRule="auto"/>
        <w:rPr>
          <w:color w:val="333333"/>
        </w:rPr>
      </w:pPr>
      <w:r w:rsidRPr="00CC511B">
        <w:rPr>
          <w:color w:val="333333"/>
        </w:rPr>
        <w:t>O Grupo Mercedes-Benz AG (símbolo de ticker: MBG) alcançou resultados sólidos no primeiro trimestre num ambiente de mercado dinâmico. A receita atingiu €33,2 mil milhões (</w:t>
      </w:r>
      <w:r w:rsidR="0094652A">
        <w:rPr>
          <w:color w:val="333333"/>
        </w:rPr>
        <w:t>T</w:t>
      </w:r>
      <w:r w:rsidRPr="00CC511B">
        <w:rPr>
          <w:color w:val="333333"/>
        </w:rPr>
        <w:t>1 2024: €35,9 mil milhões) impulsionada pelas vendas de automóveis de passageiros e vans. Os lucros do grupo antes de juros e impostos (EBIT) foram de €2,3 mil milhões. O fluxo de caixa livre do negócio industrial atingiu fortes €2,4 mil milhões (</w:t>
      </w:r>
      <w:r w:rsidR="0094652A">
        <w:rPr>
          <w:color w:val="333333"/>
        </w:rPr>
        <w:t>T</w:t>
      </w:r>
      <w:r w:rsidRPr="00CC511B">
        <w:rPr>
          <w:color w:val="333333"/>
        </w:rPr>
        <w:t xml:space="preserve">1 2024: €2,2 mil milhões) devido ao desenvolvimento sazonal positivo do </w:t>
      </w:r>
      <w:r w:rsidR="00E66509" w:rsidRPr="00CC511B">
        <w:rPr>
          <w:color w:val="333333"/>
        </w:rPr>
        <w:t>fundo de maneio</w:t>
      </w:r>
      <w:r w:rsidRPr="00CC511B">
        <w:rPr>
          <w:color w:val="333333"/>
        </w:rPr>
        <w:t>. A liquidez líquida aumentou para confortáveis €33,3 mil milhões (final de 2024: €31,4 mil milhões), proporcionando uma base sólida para navegar em tempos de imprevisibilidade geopolítica e macroeconómica.</w:t>
      </w:r>
    </w:p>
    <w:p w14:paraId="1475B7B9" w14:textId="77777777" w:rsidR="00973F29" w:rsidRPr="00CC511B" w:rsidRDefault="00973F29" w:rsidP="0059163D">
      <w:pPr>
        <w:spacing w:line="240" w:lineRule="auto"/>
        <w:rPr>
          <w:color w:val="333333"/>
        </w:rPr>
      </w:pPr>
    </w:p>
    <w:p w14:paraId="3E9015BE" w14:textId="77777777" w:rsidR="00A40E4D" w:rsidRPr="00CC511B" w:rsidRDefault="0059163D" w:rsidP="006F0B8E">
      <w:pPr>
        <w:pStyle w:val="A05Subheadline"/>
        <w:rPr>
          <w:lang w:val="pt-PT"/>
        </w:rPr>
      </w:pPr>
      <w:r w:rsidRPr="00CC511B">
        <w:rPr>
          <w:lang w:val="pt-PT"/>
        </w:rPr>
        <w:t xml:space="preserve">Resultados das divisões </w:t>
      </w:r>
    </w:p>
    <w:p w14:paraId="0EEE58A1" w14:textId="187C5D8D" w:rsidR="0059163D" w:rsidRPr="00CC511B" w:rsidRDefault="0059163D" w:rsidP="0059163D">
      <w:pPr>
        <w:spacing w:line="240" w:lineRule="auto"/>
        <w:rPr>
          <w:color w:val="333333"/>
        </w:rPr>
      </w:pPr>
      <w:r w:rsidRPr="00CC511B">
        <w:rPr>
          <w:rFonts w:eastAsiaTheme="minorEastAsia"/>
          <w:b/>
          <w:bCs/>
          <w:kern w:val="2"/>
          <w:szCs w:val="21"/>
          <w:lang w:eastAsia="de-DE" w:bidi="ar-SA"/>
          <w14:ligatures w14:val="standardContextual"/>
        </w:rPr>
        <w:t>Mercedes-Benz Cars</w:t>
      </w:r>
      <w:r w:rsidRPr="00CC511B">
        <w:rPr>
          <w:color w:val="333333"/>
        </w:rPr>
        <w:t xml:space="preserve"> vendeu 446.300 veículos num ambiente dinâmico antes da primeira introdução no mercado do novo CLA. </w:t>
      </w:r>
      <w:r w:rsidR="00D85EF7">
        <w:rPr>
          <w:color w:val="333333"/>
        </w:rPr>
        <w:t>O</w:t>
      </w:r>
      <w:r w:rsidRPr="00CC511B">
        <w:rPr>
          <w:color w:val="333333"/>
        </w:rPr>
        <w:t xml:space="preserve"> Classe E e o GLC continuaram a ter procura, enquanto um forte </w:t>
      </w:r>
      <w:r w:rsidRPr="00CC511B">
        <w:rPr>
          <w:color w:val="333333"/>
        </w:rPr>
        <w:lastRenderedPageBreak/>
        <w:t>desempenho de vendas da Mercedes-AMG e d</w:t>
      </w:r>
      <w:r w:rsidR="00D85EF7">
        <w:rPr>
          <w:color w:val="333333"/>
        </w:rPr>
        <w:t>o</w:t>
      </w:r>
      <w:r w:rsidRPr="00CC511B">
        <w:rPr>
          <w:color w:val="333333"/>
        </w:rPr>
        <w:t xml:space="preserve"> Classe G levou a uma quota de veículos topo de gama de 15%. O fluxo de caixa antes de juros e impostos (CFBIT) aumentou 21% para €2,8 mil milhões, 1,6 vezes superior ao EBIT ajustado de €1,8 mil milhões. Este desenvolvimento foi impulsionado principalmente pelo efeito favorável do </w:t>
      </w:r>
      <w:r w:rsidR="00E66509" w:rsidRPr="00CC511B">
        <w:rPr>
          <w:color w:val="333333"/>
        </w:rPr>
        <w:t>fundo de maneio</w:t>
      </w:r>
      <w:r w:rsidRPr="00CC511B">
        <w:rPr>
          <w:color w:val="333333"/>
        </w:rPr>
        <w:t xml:space="preserve"> líquido. O retorno ajustado sobre vendas (RoS) foi de 7,3%, em linha com a orientação.</w:t>
      </w:r>
    </w:p>
    <w:p w14:paraId="651A2A09" w14:textId="77777777" w:rsidR="00FC3F99" w:rsidRPr="00CC511B" w:rsidRDefault="00FC3F99" w:rsidP="0059163D">
      <w:pPr>
        <w:spacing w:line="240" w:lineRule="auto"/>
        <w:rPr>
          <w:rFonts w:eastAsiaTheme="minorEastAsia"/>
          <w:b/>
          <w:bCs/>
          <w:kern w:val="2"/>
          <w:szCs w:val="21"/>
          <w:lang w:eastAsia="de-DE" w:bidi="ar-SA"/>
          <w14:ligatures w14:val="standardContextual"/>
        </w:rPr>
      </w:pPr>
    </w:p>
    <w:p w14:paraId="68CAE357" w14:textId="667FBE45" w:rsidR="0059163D" w:rsidRPr="00CC511B" w:rsidRDefault="0059163D" w:rsidP="0059163D">
      <w:pPr>
        <w:spacing w:line="240" w:lineRule="auto"/>
        <w:rPr>
          <w:color w:val="333333"/>
        </w:rPr>
      </w:pPr>
      <w:r w:rsidRPr="00CC511B">
        <w:rPr>
          <w:rFonts w:eastAsiaTheme="minorEastAsia"/>
          <w:b/>
          <w:bCs/>
          <w:kern w:val="2"/>
          <w:szCs w:val="21"/>
          <w:lang w:eastAsia="de-DE" w:bidi="ar-SA"/>
          <w14:ligatures w14:val="standardContextual"/>
        </w:rPr>
        <w:t>Mercedes-Benz Vans</w:t>
      </w:r>
      <w:r w:rsidRPr="00CC511B">
        <w:rPr>
          <w:color w:val="333333"/>
        </w:rPr>
        <w:t xml:space="preserve"> alcançou um EBIT ajustado de €475 milhões num mercado competitivo no primeiro trimestre, levando a uma margem operacional ajustada saudável (RoS) de 11,6%. A </w:t>
      </w:r>
      <w:r w:rsidR="00E66509" w:rsidRPr="00CC511B">
        <w:rPr>
          <w:color w:val="333333"/>
        </w:rPr>
        <w:t>diversidade</w:t>
      </w:r>
      <w:r w:rsidRPr="00CC511B">
        <w:rPr>
          <w:color w:val="333333"/>
        </w:rPr>
        <w:t xml:space="preserve"> de produtos, apoiada por uma substância de produto ainda mais melhorada, manteve-se num nível saudável e compensou parcialmente as vendas unitárias mais baixas. O resultado é apoiado por um desenvolvimento positivo dos custos. O fluxo de caixa antes de juros e impostos (CFBIT) atingiu €588 milhões, correspondendo a uma alta taxa de conversão de caixa ajustada de 1,3. As vendas de BEV aumentaram 59% graças ao eSprinter.</w:t>
      </w:r>
    </w:p>
    <w:p w14:paraId="14E25321" w14:textId="77777777" w:rsidR="00FC3F99" w:rsidRPr="00CC511B" w:rsidRDefault="00FC3F99" w:rsidP="0059163D">
      <w:pPr>
        <w:spacing w:line="240" w:lineRule="auto"/>
        <w:rPr>
          <w:color w:val="333333"/>
        </w:rPr>
      </w:pPr>
    </w:p>
    <w:p w14:paraId="4A806C0D" w14:textId="58D44A80" w:rsidR="0059163D" w:rsidRPr="00CC511B" w:rsidRDefault="0059163D" w:rsidP="0059163D">
      <w:pPr>
        <w:spacing w:line="240" w:lineRule="auto"/>
        <w:rPr>
          <w:color w:val="333333"/>
        </w:rPr>
      </w:pPr>
      <w:r w:rsidRPr="00CC511B">
        <w:rPr>
          <w:rFonts w:eastAsiaTheme="minorEastAsia"/>
          <w:b/>
          <w:bCs/>
          <w:kern w:val="2"/>
          <w:szCs w:val="21"/>
          <w:lang w:eastAsia="de-DE" w:bidi="ar-SA"/>
          <w14:ligatures w14:val="standardContextual"/>
        </w:rPr>
        <w:t>Mercedes-Benz Mobility</w:t>
      </w:r>
      <w:r w:rsidRPr="00CC511B">
        <w:rPr>
          <w:color w:val="333333"/>
        </w:rPr>
        <w:t xml:space="preserve"> reportou um volume total de contratos de €133,7 mil milhões (final do </w:t>
      </w:r>
      <w:r w:rsidR="0094652A">
        <w:rPr>
          <w:color w:val="333333"/>
        </w:rPr>
        <w:t>T</w:t>
      </w:r>
      <w:r w:rsidRPr="00CC511B">
        <w:rPr>
          <w:color w:val="333333"/>
        </w:rPr>
        <w:t>4 2024: €138,1 mil milhões). Os novos negócios atingiram €13,6 mil milhões (</w:t>
      </w:r>
      <w:r w:rsidR="0094652A">
        <w:rPr>
          <w:color w:val="333333"/>
        </w:rPr>
        <w:t>T</w:t>
      </w:r>
      <w:r w:rsidRPr="00CC511B">
        <w:rPr>
          <w:color w:val="333333"/>
        </w:rPr>
        <w:t>1 2024: €14,8 mil milhões), influenciados pelo setor dinâmico de serviços financeiros, particularmente na China. No entanto, a divisão registou um volume médio de financiamento e leasing por contrato mais elevado. O EBIT ajustado foi de €287 milhões, mantendo-se ao mesmo nível do ano anterior (</w:t>
      </w:r>
      <w:r w:rsidR="0094652A">
        <w:rPr>
          <w:color w:val="333333"/>
        </w:rPr>
        <w:t>T</w:t>
      </w:r>
      <w:r w:rsidRPr="00CC511B">
        <w:rPr>
          <w:color w:val="333333"/>
        </w:rPr>
        <w:t>1 2024: €279 milhões), os investimentos adicionais em atividades de carregamento foram compensados por uma disciplina de custos rigorosa e medidas de eficiência contínuas. Como resultado, o retorno ajustado sobre o capital próprio (RoE) atingiu 8,6% (</w:t>
      </w:r>
      <w:r w:rsidR="0094652A">
        <w:rPr>
          <w:color w:val="333333"/>
        </w:rPr>
        <w:t>T</w:t>
      </w:r>
      <w:r w:rsidRPr="00CC511B">
        <w:rPr>
          <w:color w:val="333333"/>
        </w:rPr>
        <w:t>1 2024: 8,5%).</w:t>
      </w:r>
    </w:p>
    <w:p w14:paraId="7B04FCA1" w14:textId="77777777" w:rsidR="00FC3F99" w:rsidRPr="00CC511B" w:rsidRDefault="00FC3F99" w:rsidP="0059163D">
      <w:pPr>
        <w:spacing w:line="240" w:lineRule="auto"/>
        <w:rPr>
          <w:color w:val="333333"/>
        </w:rPr>
      </w:pPr>
    </w:p>
    <w:p w14:paraId="4248C042" w14:textId="26EDABB0" w:rsidR="00FC3F99" w:rsidRPr="00CC511B" w:rsidRDefault="003472FD" w:rsidP="00584F96">
      <w:pPr>
        <w:pStyle w:val="A05Subheadline"/>
        <w:rPr>
          <w:color w:val="333333"/>
          <w:lang w:val="pt-PT"/>
        </w:rPr>
      </w:pPr>
      <w:r w:rsidRPr="00CC511B">
        <w:rPr>
          <w:lang w:val="pt-PT"/>
        </w:rPr>
        <w:t>Perspetiva</w:t>
      </w:r>
      <w:r w:rsidR="0059163D" w:rsidRPr="00CC511B">
        <w:rPr>
          <w:color w:val="333333"/>
          <w:lang w:val="pt-PT" w:bidi="pt-PT"/>
        </w:rPr>
        <w:t xml:space="preserve"> </w:t>
      </w:r>
    </w:p>
    <w:p w14:paraId="3BBE1AB2" w14:textId="42EF1821" w:rsidR="0059163D" w:rsidRPr="00CC511B" w:rsidRDefault="0059163D" w:rsidP="0059163D">
      <w:pPr>
        <w:spacing w:line="240" w:lineRule="auto"/>
        <w:rPr>
          <w:color w:val="333333"/>
        </w:rPr>
      </w:pPr>
      <w:r w:rsidRPr="00CC511B">
        <w:rPr>
          <w:color w:val="333333"/>
        </w:rPr>
        <w:t xml:space="preserve">A orientação do Grupo e das divisões permaneceria inalterada antes de considerar qualquer impacto adicional das tarifas. No entanto, assumindo que todas as tarifas atualmente implementadas e anunciadas se tornem efetivas e permaneçam em vigor até ao final do ano, são esperados impactos materiais. A atual volatilidade em relação às políticas tarifárias, medidas de mitigação e os potenciais efeitos diretos e indiretos, em particular no comportamento e na </w:t>
      </w:r>
      <w:r w:rsidR="00E66509" w:rsidRPr="00CC511B">
        <w:rPr>
          <w:color w:val="333333"/>
        </w:rPr>
        <w:t>procura</w:t>
      </w:r>
      <w:r w:rsidRPr="00CC511B">
        <w:rPr>
          <w:color w:val="333333"/>
        </w:rPr>
        <w:t xml:space="preserve"> dos clientes, é demasiado alta para avaliar de forma confiável o desenvolvimento dos negócios para o restante do ano. Portanto, os números de relatórios não podem ser estimados com o nível necessário de certeza.</w:t>
      </w:r>
    </w:p>
    <w:p w14:paraId="1785BFDB" w14:textId="77777777" w:rsidR="006A36F7" w:rsidRPr="00CC511B" w:rsidRDefault="006A36F7" w:rsidP="0059163D">
      <w:pPr>
        <w:spacing w:line="240" w:lineRule="auto"/>
        <w:rPr>
          <w:color w:val="333333"/>
        </w:rPr>
      </w:pPr>
    </w:p>
    <w:p w14:paraId="0712EEB1" w14:textId="5EE87963" w:rsidR="0059163D" w:rsidRPr="00CC511B" w:rsidRDefault="0059163D" w:rsidP="0059163D">
      <w:pPr>
        <w:spacing w:line="240" w:lineRule="auto"/>
        <w:rPr>
          <w:color w:val="333333"/>
        </w:rPr>
      </w:pPr>
      <w:r w:rsidRPr="00CC511B">
        <w:rPr>
          <w:color w:val="333333"/>
        </w:rPr>
        <w:t>Assumindo que as políticas comerciais atuais persistam, o EBIT e o fluxo de caixa livre do negócio industrial, bem como os retornos ajustados sobre vendas da Mercedes-Benz Cars e Mercedes-Benz Vans, serão negativamente impactados. Também não se podem excluir impactos negativos nas taxas de conversão de caixa dos segmentos automotivos.</w:t>
      </w:r>
    </w:p>
    <w:p w14:paraId="661A5F85" w14:textId="77777777" w:rsidR="00203E59" w:rsidRPr="00CC511B" w:rsidRDefault="00203E59" w:rsidP="0059163D">
      <w:pPr>
        <w:spacing w:line="240" w:lineRule="auto"/>
        <w:rPr>
          <w:color w:val="333333"/>
        </w:rPr>
      </w:pPr>
    </w:p>
    <w:p w14:paraId="43350BF2" w14:textId="77777777" w:rsidR="0075507A" w:rsidRPr="00CC511B" w:rsidRDefault="0075507A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tbl>
      <w:tblPr>
        <w:tblStyle w:val="Mercedes-Benz"/>
        <w:tblW w:w="7369" w:type="dxa"/>
        <w:tblLayout w:type="fixed"/>
        <w:tblCellMar>
          <w:right w:w="91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</w:tblGrid>
      <w:tr w:rsidR="00203E59" w:rsidRPr="00CC511B" w14:paraId="2C717C1D" w14:textId="77777777" w:rsidTr="00D4154C">
        <w:trPr>
          <w:trHeight w:val="300"/>
        </w:trPr>
        <w:tc>
          <w:tcPr>
            <w:tcW w:w="4819" w:type="dxa"/>
            <w:noWrap/>
            <w:hideMark/>
          </w:tcPr>
          <w:p w14:paraId="379500E0" w14:textId="51DB4488" w:rsidR="00203E59" w:rsidRPr="00CC511B" w:rsidRDefault="00203E59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 xml:space="preserve">Grupo Mercedes-Benz </w:t>
            </w:r>
          </w:p>
        </w:tc>
        <w:tc>
          <w:tcPr>
            <w:tcW w:w="850" w:type="dxa"/>
            <w:noWrap/>
            <w:hideMark/>
          </w:tcPr>
          <w:p w14:paraId="6A4F65D1" w14:textId="64A0544A" w:rsidR="00203E59" w:rsidRPr="00CC511B" w:rsidRDefault="004F4885" w:rsidP="00D4154C">
            <w:pPr>
              <w:pStyle w:val="C03-02Tabletextboldcentred"/>
            </w:pPr>
            <w:r w:rsidRPr="00CC511B">
              <w:t>T</w:t>
            </w:r>
            <w:r w:rsidR="00203E59" w:rsidRPr="00CC511B">
              <w:t xml:space="preserve">1 2025 </w:t>
            </w:r>
          </w:p>
        </w:tc>
        <w:tc>
          <w:tcPr>
            <w:tcW w:w="850" w:type="dxa"/>
            <w:noWrap/>
            <w:hideMark/>
          </w:tcPr>
          <w:p w14:paraId="0301F7F8" w14:textId="1117F891" w:rsidR="00203E59" w:rsidRPr="00CC511B" w:rsidRDefault="004F4885" w:rsidP="00D4154C">
            <w:pPr>
              <w:pStyle w:val="C03-02Tabletextboldcentred"/>
            </w:pPr>
            <w:r w:rsidRPr="00CC511B">
              <w:t>T</w:t>
            </w:r>
            <w:r w:rsidR="00203E59" w:rsidRPr="00CC511B">
              <w:t>1 2024</w:t>
            </w:r>
          </w:p>
        </w:tc>
        <w:tc>
          <w:tcPr>
            <w:tcW w:w="850" w:type="dxa"/>
            <w:noWrap/>
            <w:hideMark/>
          </w:tcPr>
          <w:p w14:paraId="7D928DED" w14:textId="117C4B8C" w:rsidR="00203E59" w:rsidRPr="00CC511B" w:rsidRDefault="004F4885" w:rsidP="00D4154C">
            <w:pPr>
              <w:pStyle w:val="C03-02TabelleTextfettzentrier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Variação</w:t>
            </w:r>
          </w:p>
          <w:p w14:paraId="7A5BBD13" w14:textId="77777777" w:rsidR="00203E59" w:rsidRPr="00CC511B" w:rsidRDefault="00203E59" w:rsidP="00D4154C">
            <w:pPr>
              <w:pStyle w:val="C03-02Tabletextboldcentred"/>
            </w:pPr>
            <w:r w:rsidRPr="00CC511B">
              <w:t>25/24</w:t>
            </w:r>
          </w:p>
        </w:tc>
      </w:tr>
      <w:tr w:rsidR="00203E59" w:rsidRPr="00CC511B" w14:paraId="0E032ADC" w14:textId="77777777" w:rsidTr="00D4154C">
        <w:trPr>
          <w:trHeight w:val="178"/>
        </w:trPr>
        <w:tc>
          <w:tcPr>
            <w:tcW w:w="4819" w:type="dxa"/>
            <w:noWrap/>
          </w:tcPr>
          <w:p w14:paraId="18B321E7" w14:textId="68EA2DB4" w:rsidR="00203E59" w:rsidRPr="00CC511B" w:rsidRDefault="00203E59" w:rsidP="00D4154C">
            <w:pPr>
              <w:pStyle w:val="C03-01Tabletextboldleft"/>
              <w:contextualSpacing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Re</w:t>
            </w:r>
            <w:r w:rsidR="00970556" w:rsidRPr="00CC511B">
              <w:rPr>
                <w:rFonts w:eastAsia="Times New Roman"/>
              </w:rPr>
              <w:t>ceitas</w:t>
            </w:r>
            <w:r w:rsidRPr="00CC511B">
              <w:rPr>
                <w:rFonts w:eastAsia="Times New Roman"/>
              </w:rPr>
              <w:t>*</w:t>
            </w:r>
          </w:p>
        </w:tc>
        <w:tc>
          <w:tcPr>
            <w:tcW w:w="850" w:type="dxa"/>
            <w:noWrap/>
          </w:tcPr>
          <w:p w14:paraId="2B286BB1" w14:textId="77777777" w:rsidR="00203E59" w:rsidRPr="00CC511B" w:rsidRDefault="00203E59" w:rsidP="00D4154C">
            <w:pPr>
              <w:pStyle w:val="C02-02Tabletextright"/>
              <w:contextualSpacing/>
              <w:rPr>
                <w:lang w:val="de-DE"/>
              </w:rPr>
            </w:pPr>
            <w:r w:rsidRPr="00CC511B">
              <w:rPr>
                <w:lang w:val="de-DE"/>
              </w:rPr>
              <w:t>33,224</w:t>
            </w:r>
          </w:p>
        </w:tc>
        <w:tc>
          <w:tcPr>
            <w:tcW w:w="850" w:type="dxa"/>
            <w:noWrap/>
          </w:tcPr>
          <w:p w14:paraId="48B837CC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35,873</w:t>
            </w:r>
          </w:p>
        </w:tc>
        <w:tc>
          <w:tcPr>
            <w:tcW w:w="850" w:type="dxa"/>
            <w:noWrap/>
          </w:tcPr>
          <w:p w14:paraId="5E41666C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t>-7.4%</w:t>
            </w:r>
          </w:p>
        </w:tc>
      </w:tr>
      <w:tr w:rsidR="00203E59" w:rsidRPr="00CC511B" w14:paraId="468944E5" w14:textId="77777777" w:rsidTr="00D4154C">
        <w:trPr>
          <w:trHeight w:val="168"/>
        </w:trPr>
        <w:tc>
          <w:tcPr>
            <w:tcW w:w="4819" w:type="dxa"/>
            <w:noWrap/>
          </w:tcPr>
          <w:p w14:paraId="2A8FE36F" w14:textId="65EA39BA" w:rsidR="00203E59" w:rsidRPr="00CC511B" w:rsidRDefault="00970556" w:rsidP="00D4154C">
            <w:pPr>
              <w:pStyle w:val="C03-01Tabletextboldleft"/>
              <w:contextualSpacing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Lucros antes de juros e impostos (EBIT)*</w:t>
            </w:r>
          </w:p>
        </w:tc>
        <w:tc>
          <w:tcPr>
            <w:tcW w:w="850" w:type="dxa"/>
            <w:noWrap/>
          </w:tcPr>
          <w:p w14:paraId="6D14E4ED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2,289</w:t>
            </w:r>
          </w:p>
        </w:tc>
        <w:tc>
          <w:tcPr>
            <w:tcW w:w="850" w:type="dxa"/>
            <w:noWrap/>
          </w:tcPr>
          <w:p w14:paraId="559F3C80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3,863</w:t>
            </w:r>
          </w:p>
        </w:tc>
        <w:tc>
          <w:tcPr>
            <w:tcW w:w="850" w:type="dxa"/>
            <w:noWrap/>
          </w:tcPr>
          <w:p w14:paraId="58E0E3A0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-40.7%</w:t>
            </w:r>
          </w:p>
        </w:tc>
      </w:tr>
      <w:tr w:rsidR="00203E59" w:rsidRPr="00CC511B" w14:paraId="400D741F" w14:textId="77777777" w:rsidTr="00D4154C">
        <w:trPr>
          <w:trHeight w:val="172"/>
        </w:trPr>
        <w:tc>
          <w:tcPr>
            <w:tcW w:w="4819" w:type="dxa"/>
            <w:noWrap/>
            <w:hideMark/>
          </w:tcPr>
          <w:p w14:paraId="1B24E1E1" w14:textId="621BCCF8" w:rsidR="00203E59" w:rsidRPr="00CC511B" w:rsidRDefault="003C015E" w:rsidP="00D4154C">
            <w:pPr>
              <w:pStyle w:val="C03-01Tabletextboldleft"/>
              <w:contextualSpacing/>
              <w:rPr>
                <w:rFonts w:eastAsia="Times New Roman"/>
              </w:rPr>
            </w:pPr>
            <w:r w:rsidRPr="00CC511B">
              <w:rPr>
                <w:rFonts w:eastAsia="Times New Roman"/>
                <w:lang w:bidi="pt-PT"/>
              </w:rPr>
              <w:t>Lucro líquido/perda</w:t>
            </w:r>
            <w:r w:rsidR="00203E59" w:rsidRPr="00CC511B">
              <w:rPr>
                <w:rFonts w:eastAsia="Times New Roman"/>
              </w:rPr>
              <w:t>*</w:t>
            </w:r>
          </w:p>
        </w:tc>
        <w:tc>
          <w:tcPr>
            <w:tcW w:w="850" w:type="dxa"/>
            <w:noWrap/>
          </w:tcPr>
          <w:p w14:paraId="70FA42A9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1,731</w:t>
            </w:r>
          </w:p>
        </w:tc>
        <w:tc>
          <w:tcPr>
            <w:tcW w:w="850" w:type="dxa"/>
            <w:noWrap/>
          </w:tcPr>
          <w:p w14:paraId="4BDC4A00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3,025</w:t>
            </w:r>
          </w:p>
        </w:tc>
        <w:tc>
          <w:tcPr>
            <w:tcW w:w="850" w:type="dxa"/>
            <w:noWrap/>
          </w:tcPr>
          <w:p w14:paraId="5D0FBE89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-42.8%</w:t>
            </w:r>
          </w:p>
        </w:tc>
      </w:tr>
      <w:tr w:rsidR="00203E59" w:rsidRPr="00CC511B" w14:paraId="449915F4" w14:textId="77777777" w:rsidTr="00D4154C">
        <w:trPr>
          <w:trHeight w:val="162"/>
        </w:trPr>
        <w:tc>
          <w:tcPr>
            <w:tcW w:w="4819" w:type="dxa"/>
            <w:noWrap/>
          </w:tcPr>
          <w:p w14:paraId="5F2CA7BF" w14:textId="118C9388" w:rsidR="00203E59" w:rsidRPr="00CC511B" w:rsidRDefault="003C015E" w:rsidP="00D4154C">
            <w:pPr>
              <w:pStyle w:val="C03-01Tabletextboldleft"/>
              <w:contextualSpacing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Fluxo de caixa livre do negócio industrial (FCF</w:t>
            </w:r>
            <w:r w:rsidR="00203E59" w:rsidRPr="00CC511B">
              <w:rPr>
                <w:rFonts w:eastAsia="Times New Roman"/>
                <w:lang w:val="pt-PT"/>
              </w:rPr>
              <w:t>)*</w:t>
            </w:r>
          </w:p>
        </w:tc>
        <w:tc>
          <w:tcPr>
            <w:tcW w:w="850" w:type="dxa"/>
            <w:noWrap/>
          </w:tcPr>
          <w:p w14:paraId="4F2C2619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2,357</w:t>
            </w:r>
          </w:p>
        </w:tc>
        <w:tc>
          <w:tcPr>
            <w:tcW w:w="850" w:type="dxa"/>
            <w:noWrap/>
          </w:tcPr>
          <w:p w14:paraId="6BBE7382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2,233</w:t>
            </w:r>
          </w:p>
        </w:tc>
        <w:tc>
          <w:tcPr>
            <w:tcW w:w="850" w:type="dxa"/>
            <w:noWrap/>
          </w:tcPr>
          <w:p w14:paraId="046227AF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rPr>
                <w:lang w:val="de-DE"/>
              </w:rPr>
              <w:t>+5.6%</w:t>
            </w:r>
          </w:p>
        </w:tc>
      </w:tr>
      <w:tr w:rsidR="00203E59" w:rsidRPr="00CC511B" w14:paraId="076773AA" w14:textId="77777777" w:rsidTr="00D4154C">
        <w:trPr>
          <w:trHeight w:val="165"/>
        </w:trPr>
        <w:tc>
          <w:tcPr>
            <w:tcW w:w="4819" w:type="dxa"/>
            <w:noWrap/>
          </w:tcPr>
          <w:p w14:paraId="3FEC0004" w14:textId="50C65C3E" w:rsidR="00203E59" w:rsidRPr="00CC511B" w:rsidRDefault="003C015E" w:rsidP="00D4154C">
            <w:pPr>
              <w:pStyle w:val="C03-01Tabletextboldleft"/>
              <w:contextualSpacing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Lucro por ação (EPS) em EUR</w:t>
            </w:r>
          </w:p>
        </w:tc>
        <w:tc>
          <w:tcPr>
            <w:tcW w:w="850" w:type="dxa"/>
            <w:noWrap/>
          </w:tcPr>
          <w:p w14:paraId="5BC97324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t>1.74</w:t>
            </w:r>
          </w:p>
        </w:tc>
        <w:tc>
          <w:tcPr>
            <w:tcW w:w="850" w:type="dxa"/>
            <w:noWrap/>
          </w:tcPr>
          <w:p w14:paraId="5A53162D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t>2.86</w:t>
            </w:r>
          </w:p>
        </w:tc>
        <w:tc>
          <w:tcPr>
            <w:tcW w:w="850" w:type="dxa"/>
            <w:noWrap/>
          </w:tcPr>
          <w:p w14:paraId="40869DFB" w14:textId="77777777" w:rsidR="00203E59" w:rsidRPr="00CC511B" w:rsidRDefault="00203E59" w:rsidP="00D4154C">
            <w:pPr>
              <w:pStyle w:val="C02-02Tabletextright"/>
              <w:contextualSpacing/>
            </w:pPr>
            <w:r w:rsidRPr="00CC511B">
              <w:t>-39.1%</w:t>
            </w:r>
          </w:p>
        </w:tc>
      </w:tr>
    </w:tbl>
    <w:p w14:paraId="26CCED31" w14:textId="2B3DD86E" w:rsidR="00203E59" w:rsidRPr="00CC511B" w:rsidRDefault="00203E59" w:rsidP="00203E59">
      <w:pPr>
        <w:pStyle w:val="C05Annotation"/>
        <w:spacing w:before="0" w:after="0" w:line="240" w:lineRule="auto"/>
        <w:contextualSpacing w:val="0"/>
      </w:pPr>
      <w:bookmarkStart w:id="0" w:name="OLE_LINK13"/>
      <w:bookmarkStart w:id="1" w:name="OLE_LINK14"/>
      <w:r w:rsidRPr="00CC511B">
        <w:t xml:space="preserve">* </w:t>
      </w:r>
      <w:bookmarkEnd w:id="0"/>
      <w:bookmarkEnd w:id="1"/>
      <w:r w:rsidR="003C015E" w:rsidRPr="00CC511B">
        <w:t>em milhões de</w:t>
      </w:r>
      <w:r w:rsidRPr="00CC511B">
        <w:t xml:space="preserve"> €</w:t>
      </w:r>
    </w:p>
    <w:p w14:paraId="1EB43FA1" w14:textId="77777777" w:rsidR="00203E59" w:rsidRPr="00CC511B" w:rsidRDefault="00203E59" w:rsidP="00203E59">
      <w:pPr>
        <w:pStyle w:val="C05Annotation"/>
        <w:spacing w:before="0" w:after="0" w:line="240" w:lineRule="auto"/>
        <w:contextualSpacing w:val="0"/>
      </w:pPr>
    </w:p>
    <w:p w14:paraId="03F9BA44" w14:textId="77777777" w:rsidR="00203E59" w:rsidRPr="00CC511B" w:rsidRDefault="00203E59" w:rsidP="00203E59">
      <w:pPr>
        <w:pStyle w:val="C05Annotation"/>
        <w:spacing w:before="0" w:after="0" w:line="240" w:lineRule="auto"/>
        <w:contextualSpacing w:val="0"/>
      </w:pPr>
    </w:p>
    <w:tbl>
      <w:tblPr>
        <w:tblStyle w:val="Mercedes-Benz"/>
        <w:tblW w:w="7369" w:type="dxa"/>
        <w:tblLayout w:type="fixed"/>
        <w:tblCellMar>
          <w:right w:w="91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</w:tblGrid>
      <w:tr w:rsidR="00203E59" w:rsidRPr="00CC511B" w14:paraId="7DC57D1B" w14:textId="77777777" w:rsidTr="00D4154C">
        <w:trPr>
          <w:trHeight w:val="300"/>
        </w:trPr>
        <w:tc>
          <w:tcPr>
            <w:tcW w:w="4819" w:type="dxa"/>
            <w:noWrap/>
            <w:hideMark/>
          </w:tcPr>
          <w:p w14:paraId="1E6B6DB7" w14:textId="77777777" w:rsidR="00203E59" w:rsidRPr="00CC511B" w:rsidRDefault="00203E59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Mercedes-Benz Cars</w:t>
            </w:r>
          </w:p>
        </w:tc>
        <w:tc>
          <w:tcPr>
            <w:tcW w:w="850" w:type="dxa"/>
            <w:noWrap/>
            <w:hideMark/>
          </w:tcPr>
          <w:p w14:paraId="1A5CC300" w14:textId="7F8D14E6" w:rsidR="00203E59" w:rsidRPr="00CC511B" w:rsidRDefault="004F4885" w:rsidP="00D4154C">
            <w:pPr>
              <w:pStyle w:val="C03-02Tabletextboldcentred"/>
            </w:pPr>
            <w:r w:rsidRPr="00CC511B">
              <w:t>T</w:t>
            </w:r>
            <w:r w:rsidR="00203E59" w:rsidRPr="00CC511B">
              <w:t xml:space="preserve">1 2025 </w:t>
            </w:r>
          </w:p>
        </w:tc>
        <w:tc>
          <w:tcPr>
            <w:tcW w:w="850" w:type="dxa"/>
            <w:noWrap/>
            <w:hideMark/>
          </w:tcPr>
          <w:p w14:paraId="73B18F58" w14:textId="0554A3F0" w:rsidR="00203E59" w:rsidRPr="00CC511B" w:rsidRDefault="004F4885" w:rsidP="00D4154C">
            <w:pPr>
              <w:pStyle w:val="C03-02Tabletextboldcentred"/>
            </w:pPr>
            <w:r w:rsidRPr="00CC511B">
              <w:t>T</w:t>
            </w:r>
            <w:r w:rsidR="00203E59" w:rsidRPr="00CC511B">
              <w:t>1 2024</w:t>
            </w:r>
          </w:p>
        </w:tc>
        <w:tc>
          <w:tcPr>
            <w:tcW w:w="850" w:type="dxa"/>
            <w:noWrap/>
            <w:hideMark/>
          </w:tcPr>
          <w:p w14:paraId="7DD51395" w14:textId="3051D16B" w:rsidR="00203E59" w:rsidRPr="00CC511B" w:rsidRDefault="004F4885" w:rsidP="00D4154C">
            <w:pPr>
              <w:pStyle w:val="C03-02TabelleTextfettzentrier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Variação</w:t>
            </w:r>
          </w:p>
          <w:p w14:paraId="725D3BA1" w14:textId="77777777" w:rsidR="00203E59" w:rsidRPr="00CC511B" w:rsidRDefault="00203E59" w:rsidP="00D4154C">
            <w:pPr>
              <w:pStyle w:val="C03-02Tabletextboldcentred"/>
            </w:pPr>
            <w:r w:rsidRPr="00CC511B">
              <w:t>25/24</w:t>
            </w:r>
          </w:p>
        </w:tc>
      </w:tr>
      <w:tr w:rsidR="00203E59" w:rsidRPr="00CC511B" w14:paraId="64F24EA4" w14:textId="77777777" w:rsidTr="00D4154C">
        <w:trPr>
          <w:trHeight w:val="99"/>
        </w:trPr>
        <w:tc>
          <w:tcPr>
            <w:tcW w:w="4819" w:type="dxa"/>
            <w:noWrap/>
          </w:tcPr>
          <w:p w14:paraId="1C5D6B1F" w14:textId="01DD1A5A" w:rsidR="00203E59" w:rsidRPr="00CC511B" w:rsidRDefault="000A48A3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  <w:lang w:bidi="pt-PT"/>
              </w:rPr>
              <w:t>Vendas em unidades</w:t>
            </w:r>
          </w:p>
        </w:tc>
        <w:tc>
          <w:tcPr>
            <w:tcW w:w="850" w:type="dxa"/>
            <w:noWrap/>
          </w:tcPr>
          <w:p w14:paraId="46E356E8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446,300</w:t>
            </w:r>
          </w:p>
        </w:tc>
        <w:tc>
          <w:tcPr>
            <w:tcW w:w="850" w:type="dxa"/>
            <w:noWrap/>
          </w:tcPr>
          <w:p w14:paraId="1A89E989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462,978</w:t>
            </w:r>
          </w:p>
        </w:tc>
        <w:tc>
          <w:tcPr>
            <w:tcW w:w="850" w:type="dxa"/>
            <w:noWrap/>
          </w:tcPr>
          <w:p w14:paraId="37D0EBC9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-3.6%</w:t>
            </w:r>
          </w:p>
        </w:tc>
      </w:tr>
      <w:tr w:rsidR="00203E59" w:rsidRPr="00CC511B" w14:paraId="14A2B630" w14:textId="77777777" w:rsidTr="00D4154C">
        <w:trPr>
          <w:trHeight w:val="231"/>
        </w:trPr>
        <w:tc>
          <w:tcPr>
            <w:tcW w:w="4819" w:type="dxa"/>
            <w:noWrap/>
          </w:tcPr>
          <w:p w14:paraId="3EBFD480" w14:textId="36E7F7B7" w:rsidR="00203E59" w:rsidRPr="00CC511B" w:rsidRDefault="00AA5415" w:rsidP="00D4154C">
            <w:pPr>
              <w:pStyle w:val="C04Tablelist"/>
            </w:pPr>
            <w:r w:rsidRPr="00CC511B">
              <w:t>dos quais</w:t>
            </w:r>
            <w:r w:rsidR="00203E59" w:rsidRPr="00CC511B">
              <w:t xml:space="preserve"> xEV</w:t>
            </w:r>
          </w:p>
        </w:tc>
        <w:tc>
          <w:tcPr>
            <w:tcW w:w="850" w:type="dxa"/>
            <w:noWrap/>
          </w:tcPr>
          <w:p w14:paraId="6048140E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86,814</w:t>
            </w:r>
          </w:p>
        </w:tc>
        <w:tc>
          <w:tcPr>
            <w:tcW w:w="850" w:type="dxa"/>
            <w:noWrap/>
          </w:tcPr>
          <w:p w14:paraId="483649F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90,177</w:t>
            </w:r>
          </w:p>
        </w:tc>
        <w:tc>
          <w:tcPr>
            <w:tcW w:w="850" w:type="dxa"/>
            <w:noWrap/>
          </w:tcPr>
          <w:p w14:paraId="65C012EB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-3.7%</w:t>
            </w:r>
          </w:p>
        </w:tc>
      </w:tr>
      <w:tr w:rsidR="00203E59" w:rsidRPr="00CC511B" w14:paraId="66636450" w14:textId="77777777" w:rsidTr="00D4154C">
        <w:trPr>
          <w:trHeight w:val="193"/>
        </w:trPr>
        <w:tc>
          <w:tcPr>
            <w:tcW w:w="4819" w:type="dxa"/>
            <w:noWrap/>
          </w:tcPr>
          <w:p w14:paraId="413409BB" w14:textId="17544F44" w:rsidR="00203E59" w:rsidRPr="00CC511B" w:rsidRDefault="00AA5415" w:rsidP="00D4154C">
            <w:pPr>
              <w:pStyle w:val="C04Tablelist"/>
            </w:pPr>
            <w:r w:rsidRPr="00CC511B">
              <w:t>dos quais</w:t>
            </w:r>
            <w:r w:rsidR="00203E59" w:rsidRPr="00CC511B">
              <w:t xml:space="preserve"> BEV</w:t>
            </w:r>
          </w:p>
        </w:tc>
        <w:tc>
          <w:tcPr>
            <w:tcW w:w="850" w:type="dxa"/>
            <w:noWrap/>
          </w:tcPr>
          <w:p w14:paraId="046630EA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40,706</w:t>
            </w:r>
          </w:p>
        </w:tc>
        <w:tc>
          <w:tcPr>
            <w:tcW w:w="850" w:type="dxa"/>
            <w:noWrap/>
          </w:tcPr>
          <w:p w14:paraId="5F6F3CA6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47,521</w:t>
            </w:r>
          </w:p>
        </w:tc>
        <w:tc>
          <w:tcPr>
            <w:tcW w:w="850" w:type="dxa"/>
            <w:noWrap/>
          </w:tcPr>
          <w:p w14:paraId="49769C9F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-14.3%</w:t>
            </w:r>
          </w:p>
        </w:tc>
      </w:tr>
      <w:tr w:rsidR="00203E59" w:rsidRPr="00CC511B" w14:paraId="0EEE6033" w14:textId="77777777" w:rsidTr="00D4154C">
        <w:trPr>
          <w:trHeight w:val="183"/>
        </w:trPr>
        <w:tc>
          <w:tcPr>
            <w:tcW w:w="4819" w:type="dxa"/>
            <w:noWrap/>
          </w:tcPr>
          <w:p w14:paraId="0E0C4820" w14:textId="742C8412" w:rsidR="00203E59" w:rsidRPr="00CC511B" w:rsidRDefault="00AA5415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Quota de xEV nas vendas em unidades em %</w:t>
            </w:r>
          </w:p>
        </w:tc>
        <w:tc>
          <w:tcPr>
            <w:tcW w:w="850" w:type="dxa"/>
            <w:noWrap/>
          </w:tcPr>
          <w:p w14:paraId="0837BF28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19.5</w:t>
            </w:r>
          </w:p>
        </w:tc>
        <w:tc>
          <w:tcPr>
            <w:tcW w:w="850" w:type="dxa"/>
            <w:noWrap/>
          </w:tcPr>
          <w:p w14:paraId="5DAD189A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19.5</w:t>
            </w:r>
          </w:p>
        </w:tc>
        <w:tc>
          <w:tcPr>
            <w:tcW w:w="850" w:type="dxa"/>
            <w:noWrap/>
          </w:tcPr>
          <w:p w14:paraId="5495B931" w14:textId="77777777" w:rsidR="00203E59" w:rsidRPr="00CC511B" w:rsidRDefault="00203E59" w:rsidP="00D4154C">
            <w:pPr>
              <w:pStyle w:val="C02-02Tabletextright"/>
            </w:pPr>
            <w:r w:rsidRPr="00CC511B">
              <w:t>-</w:t>
            </w:r>
          </w:p>
        </w:tc>
      </w:tr>
      <w:tr w:rsidR="00203E59" w:rsidRPr="00CC511B" w14:paraId="588EF0E1" w14:textId="77777777" w:rsidTr="00D4154C">
        <w:trPr>
          <w:trHeight w:val="187"/>
        </w:trPr>
        <w:tc>
          <w:tcPr>
            <w:tcW w:w="4819" w:type="dxa"/>
            <w:noWrap/>
          </w:tcPr>
          <w:p w14:paraId="69ED3E5F" w14:textId="01CF6667" w:rsidR="00203E59" w:rsidRPr="00CC511B" w:rsidRDefault="00203E59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lastRenderedPageBreak/>
              <w:t>Re</w:t>
            </w:r>
            <w:r w:rsidR="00C26F53" w:rsidRPr="00CC511B">
              <w:rPr>
                <w:rFonts w:eastAsia="Times New Roman"/>
              </w:rPr>
              <w:t>ceita</w:t>
            </w:r>
            <w:r w:rsidRPr="00CC511B">
              <w:rPr>
                <w:rFonts w:eastAsia="Times New Roman"/>
              </w:rPr>
              <w:t>*</w:t>
            </w:r>
          </w:p>
        </w:tc>
        <w:tc>
          <w:tcPr>
            <w:tcW w:w="850" w:type="dxa"/>
            <w:noWrap/>
          </w:tcPr>
          <w:p w14:paraId="4D7EA50B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24,238</w:t>
            </w:r>
          </w:p>
        </w:tc>
        <w:tc>
          <w:tcPr>
            <w:tcW w:w="850" w:type="dxa"/>
            <w:noWrap/>
          </w:tcPr>
          <w:p w14:paraId="0E8E6B5E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25,713</w:t>
            </w:r>
          </w:p>
        </w:tc>
        <w:tc>
          <w:tcPr>
            <w:tcW w:w="850" w:type="dxa"/>
            <w:noWrap/>
          </w:tcPr>
          <w:p w14:paraId="08B9BCDC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-5.7%</w:t>
            </w:r>
          </w:p>
        </w:tc>
      </w:tr>
      <w:tr w:rsidR="00203E59" w:rsidRPr="00CC511B" w14:paraId="2685FD5B" w14:textId="77777777" w:rsidTr="00D4154C">
        <w:trPr>
          <w:trHeight w:val="49"/>
        </w:trPr>
        <w:tc>
          <w:tcPr>
            <w:tcW w:w="4819" w:type="dxa"/>
            <w:noWrap/>
          </w:tcPr>
          <w:p w14:paraId="7EBBC0F9" w14:textId="61A126B7" w:rsidR="00203E59" w:rsidRPr="00CC511B" w:rsidRDefault="00C26F53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Lucros antes de juros e impostos (EBIT)*</w:t>
            </w:r>
          </w:p>
        </w:tc>
        <w:tc>
          <w:tcPr>
            <w:tcW w:w="850" w:type="dxa"/>
            <w:noWrap/>
          </w:tcPr>
          <w:p w14:paraId="03E71D7A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1,758</w:t>
            </w:r>
          </w:p>
        </w:tc>
        <w:tc>
          <w:tcPr>
            <w:tcW w:w="850" w:type="dxa"/>
            <w:noWrap/>
          </w:tcPr>
          <w:p w14:paraId="54627F1A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2,456</w:t>
            </w:r>
          </w:p>
        </w:tc>
        <w:tc>
          <w:tcPr>
            <w:tcW w:w="850" w:type="dxa"/>
            <w:noWrap/>
          </w:tcPr>
          <w:p w14:paraId="61B2E19C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-28.4%</w:t>
            </w:r>
          </w:p>
        </w:tc>
      </w:tr>
      <w:tr w:rsidR="00203E59" w:rsidRPr="00CC511B" w14:paraId="649F19E0" w14:textId="77777777" w:rsidTr="00D4154C">
        <w:trPr>
          <w:trHeight w:val="181"/>
        </w:trPr>
        <w:tc>
          <w:tcPr>
            <w:tcW w:w="4819" w:type="dxa"/>
            <w:noWrap/>
          </w:tcPr>
          <w:p w14:paraId="7D55642C" w14:textId="0D382A03" w:rsidR="00203E59" w:rsidRPr="00CC511B" w:rsidRDefault="00C26F53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Lucros ajustados antes de juros e impostos (EBIT)*</w:t>
            </w:r>
          </w:p>
        </w:tc>
        <w:tc>
          <w:tcPr>
            <w:tcW w:w="850" w:type="dxa"/>
            <w:noWrap/>
          </w:tcPr>
          <w:p w14:paraId="4FF0DD33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1,768</w:t>
            </w:r>
          </w:p>
        </w:tc>
        <w:tc>
          <w:tcPr>
            <w:tcW w:w="850" w:type="dxa"/>
            <w:noWrap/>
          </w:tcPr>
          <w:p w14:paraId="6662D90C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2,323</w:t>
            </w:r>
          </w:p>
        </w:tc>
        <w:tc>
          <w:tcPr>
            <w:tcW w:w="850" w:type="dxa"/>
            <w:noWrap/>
          </w:tcPr>
          <w:p w14:paraId="792D944C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-23.9%</w:t>
            </w:r>
          </w:p>
        </w:tc>
      </w:tr>
      <w:tr w:rsidR="00203E59" w:rsidRPr="00CC511B" w14:paraId="31A7AB36" w14:textId="77777777" w:rsidTr="00D4154C">
        <w:trPr>
          <w:trHeight w:val="171"/>
        </w:trPr>
        <w:tc>
          <w:tcPr>
            <w:tcW w:w="4819" w:type="dxa"/>
            <w:noWrap/>
          </w:tcPr>
          <w:p w14:paraId="46B0805D" w14:textId="40B41147" w:rsidR="00203E59" w:rsidRPr="00CC511B" w:rsidRDefault="00C26F53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Retorno ajustado sobre vendas (RoS) em %</w:t>
            </w:r>
          </w:p>
        </w:tc>
        <w:tc>
          <w:tcPr>
            <w:tcW w:w="850" w:type="dxa"/>
            <w:noWrap/>
          </w:tcPr>
          <w:p w14:paraId="7C394F64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7.3</w:t>
            </w:r>
          </w:p>
        </w:tc>
        <w:tc>
          <w:tcPr>
            <w:tcW w:w="850" w:type="dxa"/>
            <w:noWrap/>
          </w:tcPr>
          <w:p w14:paraId="3DA7A6D7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9.0</w:t>
            </w:r>
          </w:p>
        </w:tc>
        <w:tc>
          <w:tcPr>
            <w:tcW w:w="850" w:type="dxa"/>
            <w:noWrap/>
          </w:tcPr>
          <w:p w14:paraId="63B85527" w14:textId="77777777" w:rsidR="00203E59" w:rsidRPr="00CC511B" w:rsidRDefault="00203E59" w:rsidP="00D4154C">
            <w:pPr>
              <w:pStyle w:val="C02-02Tabletextright"/>
            </w:pPr>
            <w:r w:rsidRPr="00CC511B">
              <w:t>-1.7%pts</w:t>
            </w:r>
          </w:p>
        </w:tc>
      </w:tr>
      <w:tr w:rsidR="00203E59" w:rsidRPr="00CC511B" w14:paraId="2BD6F0A3" w14:textId="77777777" w:rsidTr="00D4154C">
        <w:trPr>
          <w:trHeight w:val="161"/>
        </w:trPr>
        <w:tc>
          <w:tcPr>
            <w:tcW w:w="4819" w:type="dxa"/>
            <w:noWrap/>
          </w:tcPr>
          <w:p w14:paraId="085FFBA1" w14:textId="7D3F5435" w:rsidR="00203E59" w:rsidRPr="00CC511B" w:rsidRDefault="00BF425F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Fluxo de caixa antes de juros e impostos (CFBIT)*</w:t>
            </w:r>
          </w:p>
        </w:tc>
        <w:tc>
          <w:tcPr>
            <w:tcW w:w="850" w:type="dxa"/>
            <w:noWrap/>
          </w:tcPr>
          <w:p w14:paraId="65450E20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2,789</w:t>
            </w:r>
          </w:p>
        </w:tc>
        <w:tc>
          <w:tcPr>
            <w:tcW w:w="850" w:type="dxa"/>
            <w:noWrap/>
          </w:tcPr>
          <w:p w14:paraId="253BDC22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2,297</w:t>
            </w:r>
          </w:p>
        </w:tc>
        <w:tc>
          <w:tcPr>
            <w:tcW w:w="850" w:type="dxa"/>
            <w:noWrap/>
          </w:tcPr>
          <w:p w14:paraId="0478DD8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+21.4%</w:t>
            </w:r>
          </w:p>
        </w:tc>
      </w:tr>
      <w:tr w:rsidR="00203E59" w:rsidRPr="00CC511B" w14:paraId="66293387" w14:textId="77777777" w:rsidTr="00D4154C">
        <w:trPr>
          <w:trHeight w:val="165"/>
        </w:trPr>
        <w:tc>
          <w:tcPr>
            <w:tcW w:w="4819" w:type="dxa"/>
            <w:noWrap/>
          </w:tcPr>
          <w:p w14:paraId="6FDA7554" w14:textId="7D35FA9A" w:rsidR="00203E59" w:rsidRPr="00CC511B" w:rsidRDefault="00BF425F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Taxa de conversão de caixa ajustada (CCR)</w:t>
            </w:r>
          </w:p>
        </w:tc>
        <w:tc>
          <w:tcPr>
            <w:tcW w:w="850" w:type="dxa"/>
            <w:noWrap/>
          </w:tcPr>
          <w:p w14:paraId="2AD408BC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1.6</w:t>
            </w:r>
          </w:p>
        </w:tc>
        <w:tc>
          <w:tcPr>
            <w:tcW w:w="850" w:type="dxa"/>
            <w:noWrap/>
          </w:tcPr>
          <w:p w14:paraId="235FD97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1.0</w:t>
            </w:r>
          </w:p>
        </w:tc>
        <w:tc>
          <w:tcPr>
            <w:tcW w:w="850" w:type="dxa"/>
            <w:noWrap/>
          </w:tcPr>
          <w:p w14:paraId="2F262A15" w14:textId="77777777" w:rsidR="00203E59" w:rsidRPr="00CC511B" w:rsidRDefault="00203E59" w:rsidP="00D4154C">
            <w:pPr>
              <w:pStyle w:val="C02-02Tabletextright"/>
            </w:pPr>
            <w:r w:rsidRPr="00CC511B">
              <w:t>-</w:t>
            </w:r>
          </w:p>
        </w:tc>
      </w:tr>
    </w:tbl>
    <w:p w14:paraId="55AAC252" w14:textId="29DD2A47" w:rsidR="00203E59" w:rsidRPr="00CC511B" w:rsidRDefault="00203E59" w:rsidP="00203E59">
      <w:pPr>
        <w:pStyle w:val="C05Annotation"/>
        <w:spacing w:before="0" w:after="0" w:line="240" w:lineRule="auto"/>
        <w:contextualSpacing w:val="0"/>
      </w:pPr>
      <w:r w:rsidRPr="00CC511B">
        <w:t xml:space="preserve">* </w:t>
      </w:r>
      <w:r w:rsidR="00BF425F" w:rsidRPr="00CC511B">
        <w:t>em milhões de</w:t>
      </w:r>
      <w:r w:rsidRPr="00CC511B">
        <w:t xml:space="preserve"> €</w:t>
      </w:r>
    </w:p>
    <w:p w14:paraId="12ED9C6F" w14:textId="77777777" w:rsidR="00203E59" w:rsidRPr="00CC511B" w:rsidRDefault="00203E59" w:rsidP="00203E59">
      <w:pPr>
        <w:pStyle w:val="C05Annotation"/>
        <w:spacing w:before="0" w:after="0" w:line="240" w:lineRule="auto"/>
        <w:contextualSpacing w:val="0"/>
      </w:pPr>
    </w:p>
    <w:p w14:paraId="4096FD3B" w14:textId="77777777" w:rsidR="00203E59" w:rsidRPr="00CC511B" w:rsidRDefault="00203E59" w:rsidP="00203E59">
      <w:pPr>
        <w:pStyle w:val="C05Annotation"/>
        <w:spacing w:before="0" w:after="0" w:line="240" w:lineRule="auto"/>
        <w:contextualSpacing w:val="0"/>
      </w:pPr>
    </w:p>
    <w:tbl>
      <w:tblPr>
        <w:tblStyle w:val="Mercedes-Benz"/>
        <w:tblW w:w="7369" w:type="dxa"/>
        <w:tblLayout w:type="fixed"/>
        <w:tblCellMar>
          <w:right w:w="91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</w:tblGrid>
      <w:tr w:rsidR="00203E59" w:rsidRPr="00CC511B" w14:paraId="2397FBD8" w14:textId="77777777" w:rsidTr="00D4154C">
        <w:trPr>
          <w:trHeight w:val="300"/>
        </w:trPr>
        <w:tc>
          <w:tcPr>
            <w:tcW w:w="4819" w:type="dxa"/>
            <w:noWrap/>
            <w:hideMark/>
          </w:tcPr>
          <w:p w14:paraId="7B7D8F08" w14:textId="77777777" w:rsidR="00203E59" w:rsidRPr="00CC511B" w:rsidRDefault="00203E59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Mercedes-Benz Vans</w:t>
            </w:r>
          </w:p>
        </w:tc>
        <w:tc>
          <w:tcPr>
            <w:tcW w:w="850" w:type="dxa"/>
            <w:noWrap/>
            <w:hideMark/>
          </w:tcPr>
          <w:p w14:paraId="1AE51481" w14:textId="25EFBFC7" w:rsidR="00203E59" w:rsidRPr="00CC511B" w:rsidRDefault="000A48A3" w:rsidP="00D4154C">
            <w:pPr>
              <w:pStyle w:val="C03-02Tabletextboldcentred"/>
            </w:pPr>
            <w:r w:rsidRPr="00CC511B">
              <w:t>T</w:t>
            </w:r>
            <w:r w:rsidR="00203E59" w:rsidRPr="00CC511B">
              <w:t xml:space="preserve">1 2025 </w:t>
            </w:r>
          </w:p>
        </w:tc>
        <w:tc>
          <w:tcPr>
            <w:tcW w:w="850" w:type="dxa"/>
            <w:noWrap/>
            <w:hideMark/>
          </w:tcPr>
          <w:p w14:paraId="6150503C" w14:textId="15A007F6" w:rsidR="00203E59" w:rsidRPr="00CC511B" w:rsidRDefault="000A48A3" w:rsidP="00D4154C">
            <w:pPr>
              <w:pStyle w:val="C03-02Tabletextboldcentred"/>
            </w:pPr>
            <w:r w:rsidRPr="00CC511B">
              <w:t>T</w:t>
            </w:r>
            <w:r w:rsidR="00203E59" w:rsidRPr="00CC511B">
              <w:t>1 2024</w:t>
            </w:r>
          </w:p>
        </w:tc>
        <w:tc>
          <w:tcPr>
            <w:tcW w:w="850" w:type="dxa"/>
            <w:noWrap/>
            <w:hideMark/>
          </w:tcPr>
          <w:p w14:paraId="6122F08D" w14:textId="77BE2356" w:rsidR="00203E59" w:rsidRPr="00CC511B" w:rsidRDefault="000A48A3" w:rsidP="00D4154C">
            <w:pPr>
              <w:pStyle w:val="C03-02TabelleTextfettzentrier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Variação</w:t>
            </w:r>
          </w:p>
          <w:p w14:paraId="14733A80" w14:textId="77777777" w:rsidR="00203E59" w:rsidRPr="00CC511B" w:rsidRDefault="00203E59" w:rsidP="00D4154C">
            <w:pPr>
              <w:pStyle w:val="C03-02Tabletextboldcentred"/>
            </w:pPr>
            <w:r w:rsidRPr="00CC511B">
              <w:t>25/24</w:t>
            </w:r>
          </w:p>
        </w:tc>
      </w:tr>
      <w:tr w:rsidR="00203E59" w:rsidRPr="00CC511B" w14:paraId="6811DCA0" w14:textId="77777777" w:rsidTr="00D4154C">
        <w:trPr>
          <w:trHeight w:val="99"/>
        </w:trPr>
        <w:tc>
          <w:tcPr>
            <w:tcW w:w="4819" w:type="dxa"/>
            <w:noWrap/>
          </w:tcPr>
          <w:p w14:paraId="18A561EA" w14:textId="407EDBB9" w:rsidR="00203E59" w:rsidRPr="00CC511B" w:rsidRDefault="000A48A3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  <w:lang w:bidi="pt-PT"/>
              </w:rPr>
              <w:t>Vendas em unidades</w:t>
            </w:r>
          </w:p>
        </w:tc>
        <w:tc>
          <w:tcPr>
            <w:tcW w:w="850" w:type="dxa"/>
            <w:noWrap/>
          </w:tcPr>
          <w:p w14:paraId="1BAA1CAF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82,943</w:t>
            </w:r>
          </w:p>
        </w:tc>
        <w:tc>
          <w:tcPr>
            <w:tcW w:w="850" w:type="dxa"/>
            <w:noWrap/>
          </w:tcPr>
          <w:p w14:paraId="681B34C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105,425</w:t>
            </w:r>
          </w:p>
        </w:tc>
        <w:tc>
          <w:tcPr>
            <w:tcW w:w="850" w:type="dxa"/>
            <w:noWrap/>
          </w:tcPr>
          <w:p w14:paraId="76C4698A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-21.3%</w:t>
            </w:r>
          </w:p>
        </w:tc>
      </w:tr>
      <w:tr w:rsidR="00203E59" w:rsidRPr="00CC511B" w14:paraId="5FAFE342" w14:textId="77777777" w:rsidTr="00D4154C">
        <w:trPr>
          <w:trHeight w:val="90"/>
        </w:trPr>
        <w:tc>
          <w:tcPr>
            <w:tcW w:w="4819" w:type="dxa"/>
            <w:noWrap/>
          </w:tcPr>
          <w:p w14:paraId="1049CBF5" w14:textId="54E4BB79" w:rsidR="00203E59" w:rsidRPr="00CC511B" w:rsidRDefault="00BF425F" w:rsidP="00D4154C">
            <w:pPr>
              <w:pStyle w:val="C04Tablelist"/>
            </w:pPr>
            <w:r w:rsidRPr="00CC511B">
              <w:t>dos quais</w:t>
            </w:r>
            <w:r w:rsidR="00203E59" w:rsidRPr="00CC511B">
              <w:t xml:space="preserve"> BEV</w:t>
            </w:r>
          </w:p>
        </w:tc>
        <w:tc>
          <w:tcPr>
            <w:tcW w:w="850" w:type="dxa"/>
            <w:noWrap/>
          </w:tcPr>
          <w:p w14:paraId="7A2223B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4,749</w:t>
            </w:r>
          </w:p>
        </w:tc>
        <w:tc>
          <w:tcPr>
            <w:tcW w:w="850" w:type="dxa"/>
            <w:noWrap/>
          </w:tcPr>
          <w:p w14:paraId="0AC0CF51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2,980</w:t>
            </w:r>
          </w:p>
        </w:tc>
        <w:tc>
          <w:tcPr>
            <w:tcW w:w="850" w:type="dxa"/>
            <w:noWrap/>
          </w:tcPr>
          <w:p w14:paraId="21DE13F2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+59.4%</w:t>
            </w:r>
          </w:p>
        </w:tc>
      </w:tr>
      <w:tr w:rsidR="00203E59" w:rsidRPr="00CC511B" w14:paraId="64FA186E" w14:textId="77777777" w:rsidTr="00D4154C">
        <w:trPr>
          <w:trHeight w:val="93"/>
        </w:trPr>
        <w:tc>
          <w:tcPr>
            <w:tcW w:w="4819" w:type="dxa"/>
            <w:noWrap/>
          </w:tcPr>
          <w:p w14:paraId="79AE4B97" w14:textId="724D87F9" w:rsidR="00203E59" w:rsidRPr="00CC511B" w:rsidRDefault="00FA0A6E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Quota de BEV nas vendas em unidades em %</w:t>
            </w:r>
          </w:p>
        </w:tc>
        <w:tc>
          <w:tcPr>
            <w:tcW w:w="850" w:type="dxa"/>
            <w:noWrap/>
          </w:tcPr>
          <w:p w14:paraId="2E96E049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5.7</w:t>
            </w:r>
          </w:p>
        </w:tc>
        <w:tc>
          <w:tcPr>
            <w:tcW w:w="850" w:type="dxa"/>
            <w:noWrap/>
          </w:tcPr>
          <w:p w14:paraId="6D2710E1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2.8</w:t>
            </w:r>
          </w:p>
        </w:tc>
        <w:tc>
          <w:tcPr>
            <w:tcW w:w="850" w:type="dxa"/>
            <w:noWrap/>
          </w:tcPr>
          <w:p w14:paraId="0EBF8911" w14:textId="77777777" w:rsidR="00203E59" w:rsidRPr="00CC511B" w:rsidRDefault="00203E59" w:rsidP="00D4154C">
            <w:pPr>
              <w:pStyle w:val="C02-02Tabletextright"/>
            </w:pPr>
            <w:r w:rsidRPr="00CC511B">
              <w:t>-</w:t>
            </w:r>
          </w:p>
        </w:tc>
      </w:tr>
      <w:tr w:rsidR="00203E59" w:rsidRPr="00CC511B" w14:paraId="2E33E6E9" w14:textId="77777777" w:rsidTr="00D4154C">
        <w:trPr>
          <w:trHeight w:val="225"/>
        </w:trPr>
        <w:tc>
          <w:tcPr>
            <w:tcW w:w="4819" w:type="dxa"/>
            <w:noWrap/>
          </w:tcPr>
          <w:p w14:paraId="69882A32" w14:textId="189897B6" w:rsidR="00203E59" w:rsidRPr="00CC511B" w:rsidRDefault="00FA0A6E" w:rsidP="00D4154C">
            <w:pPr>
              <w:pStyle w:val="C03-01Tabletextboldleft"/>
              <w:rPr>
                <w:rFonts w:eastAsia="Times New Roman"/>
              </w:rPr>
            </w:pPr>
            <w:r w:rsidRPr="00CC511B">
              <w:rPr>
                <w:rFonts w:eastAsia="Times New Roman"/>
              </w:rPr>
              <w:t>Receita</w:t>
            </w:r>
            <w:r w:rsidR="00203E59" w:rsidRPr="00CC511B">
              <w:rPr>
                <w:rFonts w:eastAsia="Times New Roman"/>
              </w:rPr>
              <w:t>*</w:t>
            </w:r>
          </w:p>
        </w:tc>
        <w:tc>
          <w:tcPr>
            <w:tcW w:w="850" w:type="dxa"/>
            <w:noWrap/>
          </w:tcPr>
          <w:p w14:paraId="27C7B222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4,080</w:t>
            </w:r>
          </w:p>
        </w:tc>
        <w:tc>
          <w:tcPr>
            <w:tcW w:w="850" w:type="dxa"/>
            <w:noWrap/>
          </w:tcPr>
          <w:p w14:paraId="3309806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4,893</w:t>
            </w:r>
          </w:p>
        </w:tc>
        <w:tc>
          <w:tcPr>
            <w:tcW w:w="850" w:type="dxa"/>
            <w:noWrap/>
          </w:tcPr>
          <w:p w14:paraId="0E8F6575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-16.6%</w:t>
            </w:r>
          </w:p>
        </w:tc>
      </w:tr>
      <w:tr w:rsidR="00203E59" w:rsidRPr="00B223F3" w14:paraId="2AB581F5" w14:textId="77777777" w:rsidTr="00D4154C">
        <w:trPr>
          <w:trHeight w:val="187"/>
        </w:trPr>
        <w:tc>
          <w:tcPr>
            <w:tcW w:w="4819" w:type="dxa"/>
            <w:noWrap/>
          </w:tcPr>
          <w:p w14:paraId="182E5555" w14:textId="03356D26" w:rsidR="00203E59" w:rsidRPr="00CC511B" w:rsidRDefault="00FA0A6E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CC511B">
              <w:rPr>
                <w:rFonts w:eastAsia="Times New Roman"/>
                <w:lang w:val="pt-PT" w:bidi="pt-PT"/>
              </w:rPr>
              <w:t>Lucros antes de juros e impostos (EBIT)*</w:t>
            </w:r>
          </w:p>
        </w:tc>
        <w:tc>
          <w:tcPr>
            <w:tcW w:w="850" w:type="dxa"/>
            <w:noWrap/>
          </w:tcPr>
          <w:p w14:paraId="448C6BCE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229</w:t>
            </w:r>
          </w:p>
        </w:tc>
        <w:tc>
          <w:tcPr>
            <w:tcW w:w="850" w:type="dxa"/>
            <w:noWrap/>
          </w:tcPr>
          <w:p w14:paraId="5A109414" w14:textId="77777777" w:rsidR="00203E59" w:rsidRPr="00CC511B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933</w:t>
            </w:r>
          </w:p>
        </w:tc>
        <w:tc>
          <w:tcPr>
            <w:tcW w:w="850" w:type="dxa"/>
            <w:noWrap/>
          </w:tcPr>
          <w:p w14:paraId="490D9FBA" w14:textId="77777777" w:rsidR="00203E59" w:rsidRPr="00B223F3" w:rsidRDefault="00203E59" w:rsidP="00D4154C">
            <w:pPr>
              <w:pStyle w:val="C02-02Tabletextright"/>
            </w:pPr>
            <w:r w:rsidRPr="00CC511B">
              <w:rPr>
                <w:lang w:val="de-DE"/>
              </w:rPr>
              <w:t>-75.5%</w:t>
            </w:r>
          </w:p>
        </w:tc>
      </w:tr>
      <w:tr w:rsidR="00203E59" w:rsidRPr="00B223F3" w14:paraId="54AA954A" w14:textId="77777777" w:rsidTr="00D4154C">
        <w:trPr>
          <w:trHeight w:val="191"/>
        </w:trPr>
        <w:tc>
          <w:tcPr>
            <w:tcW w:w="4819" w:type="dxa"/>
            <w:noWrap/>
          </w:tcPr>
          <w:p w14:paraId="10475040" w14:textId="7B113443" w:rsidR="00203E59" w:rsidRPr="00FA0A6E" w:rsidRDefault="00FA0A6E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FA0A6E">
              <w:rPr>
                <w:rFonts w:eastAsia="Times New Roman"/>
                <w:lang w:val="pt-PT" w:bidi="pt-PT"/>
              </w:rPr>
              <w:t>Lucros ajustados antes de juros e impostos (EBIT)*</w:t>
            </w:r>
          </w:p>
        </w:tc>
        <w:tc>
          <w:tcPr>
            <w:tcW w:w="850" w:type="dxa"/>
            <w:noWrap/>
          </w:tcPr>
          <w:p w14:paraId="1ADE5C3A" w14:textId="77777777" w:rsidR="00203E59" w:rsidRPr="00B223F3" w:rsidRDefault="00203E59" w:rsidP="00D4154C">
            <w:pPr>
              <w:pStyle w:val="C02-02Tabletextright"/>
            </w:pPr>
            <w:r w:rsidRPr="00121663">
              <w:rPr>
                <w:lang w:val="de-DE"/>
              </w:rPr>
              <w:t>475</w:t>
            </w:r>
          </w:p>
        </w:tc>
        <w:tc>
          <w:tcPr>
            <w:tcW w:w="850" w:type="dxa"/>
            <w:noWrap/>
          </w:tcPr>
          <w:p w14:paraId="5F84E0A7" w14:textId="77777777" w:rsidR="00203E59" w:rsidRPr="00B223F3" w:rsidRDefault="00203E59" w:rsidP="00D4154C">
            <w:pPr>
              <w:pStyle w:val="C02-02Tabletextright"/>
            </w:pPr>
            <w:r w:rsidRPr="00121663">
              <w:rPr>
                <w:lang w:val="de-DE"/>
              </w:rPr>
              <w:t>800</w:t>
            </w:r>
          </w:p>
        </w:tc>
        <w:tc>
          <w:tcPr>
            <w:tcW w:w="850" w:type="dxa"/>
            <w:noWrap/>
          </w:tcPr>
          <w:p w14:paraId="07AB60BB" w14:textId="77777777" w:rsidR="00203E59" w:rsidRPr="00B223F3" w:rsidRDefault="00203E59" w:rsidP="00D4154C">
            <w:pPr>
              <w:pStyle w:val="C02-02Tabletextright"/>
            </w:pPr>
            <w:r w:rsidRPr="00121663">
              <w:rPr>
                <w:lang w:val="de-DE"/>
              </w:rPr>
              <w:t>-40</w:t>
            </w:r>
            <w:r>
              <w:rPr>
                <w:lang w:val="de-DE"/>
              </w:rPr>
              <w:t>.</w:t>
            </w:r>
            <w:r w:rsidRPr="00121663">
              <w:rPr>
                <w:lang w:val="de-DE"/>
              </w:rPr>
              <w:t>6%</w:t>
            </w:r>
          </w:p>
        </w:tc>
      </w:tr>
      <w:tr w:rsidR="00203E59" w:rsidRPr="00B223F3" w14:paraId="685AB75B" w14:textId="77777777" w:rsidTr="00D4154C">
        <w:trPr>
          <w:trHeight w:val="195"/>
        </w:trPr>
        <w:tc>
          <w:tcPr>
            <w:tcW w:w="4819" w:type="dxa"/>
            <w:noWrap/>
          </w:tcPr>
          <w:p w14:paraId="2F2E09EE" w14:textId="0DFA8FF2" w:rsidR="00203E59" w:rsidRPr="00964CF0" w:rsidRDefault="00964CF0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964CF0">
              <w:rPr>
                <w:rFonts w:eastAsia="Times New Roman"/>
                <w:lang w:val="pt-PT" w:bidi="pt-PT"/>
              </w:rPr>
              <w:t>Retorno ajustado sobre vendas (RoS) em %</w:t>
            </w:r>
          </w:p>
        </w:tc>
        <w:tc>
          <w:tcPr>
            <w:tcW w:w="850" w:type="dxa"/>
            <w:noWrap/>
          </w:tcPr>
          <w:p w14:paraId="143FC555" w14:textId="77777777" w:rsidR="00203E59" w:rsidRPr="00B223F3" w:rsidRDefault="00203E59" w:rsidP="00D4154C">
            <w:pPr>
              <w:pStyle w:val="C02-02Tabletextright"/>
            </w:pPr>
            <w:r w:rsidRPr="00121663">
              <w:rPr>
                <w:lang w:val="de-DE"/>
              </w:rPr>
              <w:t>11</w:t>
            </w:r>
            <w:r>
              <w:rPr>
                <w:lang w:val="de-DE"/>
              </w:rPr>
              <w:t>.</w:t>
            </w:r>
            <w:r w:rsidRPr="00121663">
              <w:rPr>
                <w:lang w:val="de-DE"/>
              </w:rPr>
              <w:t>6</w:t>
            </w:r>
          </w:p>
        </w:tc>
        <w:tc>
          <w:tcPr>
            <w:tcW w:w="850" w:type="dxa"/>
            <w:noWrap/>
          </w:tcPr>
          <w:p w14:paraId="6D82077F" w14:textId="77777777" w:rsidR="00203E59" w:rsidRPr="00B223F3" w:rsidRDefault="00203E59" w:rsidP="00D4154C">
            <w:pPr>
              <w:pStyle w:val="C02-02Tabletextright"/>
            </w:pPr>
            <w:r w:rsidRPr="00121663">
              <w:rPr>
                <w:lang w:val="de-DE"/>
              </w:rPr>
              <w:t>16</w:t>
            </w:r>
            <w:r>
              <w:rPr>
                <w:lang w:val="de-DE"/>
              </w:rPr>
              <w:t>.</w:t>
            </w:r>
            <w:r w:rsidRPr="00121663">
              <w:rPr>
                <w:lang w:val="de-DE"/>
              </w:rPr>
              <w:t>3</w:t>
            </w:r>
          </w:p>
        </w:tc>
        <w:tc>
          <w:tcPr>
            <w:tcW w:w="850" w:type="dxa"/>
            <w:noWrap/>
          </w:tcPr>
          <w:p w14:paraId="30668721" w14:textId="77777777" w:rsidR="00203E59" w:rsidRPr="00B223F3" w:rsidRDefault="00203E59" w:rsidP="00D4154C">
            <w:pPr>
              <w:pStyle w:val="C02-02Tabletextright"/>
            </w:pPr>
            <w:r>
              <w:t>-4.7%pts</w:t>
            </w:r>
          </w:p>
        </w:tc>
      </w:tr>
      <w:tr w:rsidR="00203E59" w:rsidRPr="00B223F3" w14:paraId="2DD12C75" w14:textId="77777777" w:rsidTr="00D4154C">
        <w:trPr>
          <w:trHeight w:val="185"/>
        </w:trPr>
        <w:tc>
          <w:tcPr>
            <w:tcW w:w="4819" w:type="dxa"/>
            <w:noWrap/>
          </w:tcPr>
          <w:p w14:paraId="7B390B00" w14:textId="5FBABA0C" w:rsidR="00203E59" w:rsidRPr="00DE02A6" w:rsidRDefault="00DE02A6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DE02A6">
              <w:rPr>
                <w:rFonts w:eastAsia="Times New Roman"/>
                <w:lang w:val="pt-PT" w:bidi="pt-PT"/>
              </w:rPr>
              <w:t>Fluxo de caixa antes de juros e impostos (CFBIT)*</w:t>
            </w:r>
          </w:p>
        </w:tc>
        <w:tc>
          <w:tcPr>
            <w:tcW w:w="850" w:type="dxa"/>
            <w:noWrap/>
          </w:tcPr>
          <w:p w14:paraId="5668033F" w14:textId="77777777" w:rsidR="00203E59" w:rsidRPr="00B223F3" w:rsidRDefault="00203E59" w:rsidP="00D4154C">
            <w:pPr>
              <w:pStyle w:val="C02-02Tabletextright"/>
            </w:pPr>
            <w:r w:rsidRPr="0014054F">
              <w:rPr>
                <w:lang w:val="de-DE"/>
              </w:rPr>
              <w:t>588</w:t>
            </w:r>
          </w:p>
        </w:tc>
        <w:tc>
          <w:tcPr>
            <w:tcW w:w="850" w:type="dxa"/>
            <w:noWrap/>
          </w:tcPr>
          <w:p w14:paraId="6F5178A7" w14:textId="77777777" w:rsidR="00203E59" w:rsidRPr="00B223F3" w:rsidRDefault="00203E59" w:rsidP="00D4154C">
            <w:pPr>
              <w:pStyle w:val="C02-02Tabletextright"/>
            </w:pPr>
            <w:r w:rsidRPr="0014054F">
              <w:rPr>
                <w:lang w:val="de-DE"/>
              </w:rPr>
              <w:t>643</w:t>
            </w:r>
          </w:p>
        </w:tc>
        <w:tc>
          <w:tcPr>
            <w:tcW w:w="850" w:type="dxa"/>
            <w:noWrap/>
          </w:tcPr>
          <w:p w14:paraId="238E86AC" w14:textId="77777777" w:rsidR="00203E59" w:rsidRPr="00B223F3" w:rsidRDefault="00203E59" w:rsidP="00D4154C">
            <w:pPr>
              <w:pStyle w:val="C02-02Tabletextright"/>
            </w:pPr>
            <w:r w:rsidRPr="0014054F">
              <w:rPr>
                <w:lang w:val="de-DE"/>
              </w:rPr>
              <w:t>-8</w:t>
            </w:r>
            <w:r>
              <w:rPr>
                <w:lang w:val="de-DE"/>
              </w:rPr>
              <w:t>.</w:t>
            </w:r>
            <w:r w:rsidRPr="0014054F">
              <w:rPr>
                <w:lang w:val="de-DE"/>
              </w:rPr>
              <w:t>6%</w:t>
            </w:r>
          </w:p>
        </w:tc>
      </w:tr>
      <w:tr w:rsidR="00203E59" w:rsidRPr="00B223F3" w14:paraId="78824A21" w14:textId="77777777" w:rsidTr="00D4154C">
        <w:trPr>
          <w:trHeight w:val="33"/>
        </w:trPr>
        <w:tc>
          <w:tcPr>
            <w:tcW w:w="4819" w:type="dxa"/>
            <w:noWrap/>
          </w:tcPr>
          <w:p w14:paraId="4CA35247" w14:textId="0E6D22F2" w:rsidR="00203E59" w:rsidRPr="00DE02A6" w:rsidRDefault="00DE02A6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DE02A6">
              <w:rPr>
                <w:rFonts w:eastAsia="Times New Roman"/>
                <w:lang w:val="pt-PT" w:bidi="pt-PT"/>
              </w:rPr>
              <w:t>Taxa de conversão de caixa ajustada</w:t>
            </w:r>
          </w:p>
        </w:tc>
        <w:tc>
          <w:tcPr>
            <w:tcW w:w="850" w:type="dxa"/>
            <w:noWrap/>
          </w:tcPr>
          <w:p w14:paraId="30985C77" w14:textId="77777777" w:rsidR="00203E59" w:rsidRPr="00B223F3" w:rsidRDefault="00203E59" w:rsidP="00D4154C">
            <w:pPr>
              <w:pStyle w:val="C02-02Tabletextright"/>
            </w:pPr>
            <w:r w:rsidRPr="000A2891">
              <w:rPr>
                <w:lang w:val="de-DE"/>
              </w:rPr>
              <w:t>1</w:t>
            </w:r>
            <w:r>
              <w:rPr>
                <w:lang w:val="de-DE"/>
              </w:rPr>
              <w:t>.</w:t>
            </w:r>
            <w:r w:rsidRPr="000A2891">
              <w:rPr>
                <w:lang w:val="de-DE"/>
              </w:rPr>
              <w:t>3</w:t>
            </w:r>
          </w:p>
        </w:tc>
        <w:tc>
          <w:tcPr>
            <w:tcW w:w="850" w:type="dxa"/>
            <w:noWrap/>
          </w:tcPr>
          <w:p w14:paraId="601FFF92" w14:textId="77777777" w:rsidR="00203E59" w:rsidRPr="00B223F3" w:rsidRDefault="00203E59" w:rsidP="00D4154C">
            <w:pPr>
              <w:pStyle w:val="C02-02Tabletextright"/>
            </w:pPr>
            <w:r w:rsidRPr="000A2891">
              <w:rPr>
                <w:lang w:val="de-DE"/>
              </w:rPr>
              <w:t>0</w:t>
            </w:r>
            <w:r>
              <w:rPr>
                <w:lang w:val="de-DE"/>
              </w:rPr>
              <w:t>.</w:t>
            </w:r>
            <w:r w:rsidRPr="000A2891">
              <w:rPr>
                <w:lang w:val="de-DE"/>
              </w:rPr>
              <w:t>9</w:t>
            </w:r>
          </w:p>
        </w:tc>
        <w:tc>
          <w:tcPr>
            <w:tcW w:w="850" w:type="dxa"/>
            <w:noWrap/>
          </w:tcPr>
          <w:p w14:paraId="469C62AC" w14:textId="77777777" w:rsidR="00203E59" w:rsidRPr="00B223F3" w:rsidRDefault="00203E59" w:rsidP="00D4154C">
            <w:pPr>
              <w:pStyle w:val="C02-02Tabletextright"/>
            </w:pPr>
            <w:r>
              <w:t>-</w:t>
            </w:r>
          </w:p>
        </w:tc>
      </w:tr>
    </w:tbl>
    <w:p w14:paraId="3962D88A" w14:textId="32CD5DFE" w:rsidR="00203E59" w:rsidRDefault="00203E59" w:rsidP="00203E59">
      <w:pPr>
        <w:pStyle w:val="C05Annotation"/>
        <w:spacing w:before="0" w:after="0" w:line="240" w:lineRule="auto"/>
        <w:contextualSpacing w:val="0"/>
      </w:pPr>
      <w:r>
        <w:t xml:space="preserve">* </w:t>
      </w:r>
      <w:r w:rsidR="00DE02A6">
        <w:t>em milhões de</w:t>
      </w:r>
      <w:r>
        <w:t xml:space="preserve"> €</w:t>
      </w:r>
    </w:p>
    <w:p w14:paraId="2019E60D" w14:textId="77777777" w:rsidR="00203E59" w:rsidRPr="00B223F3" w:rsidRDefault="00203E59" w:rsidP="00203E59">
      <w:pPr>
        <w:pStyle w:val="C05Annotation"/>
        <w:spacing w:before="0" w:after="0" w:line="240" w:lineRule="auto"/>
        <w:contextualSpacing w:val="0"/>
      </w:pPr>
    </w:p>
    <w:p w14:paraId="1C9B31E1" w14:textId="77777777" w:rsidR="00203E59" w:rsidRDefault="00203E59" w:rsidP="00203E59">
      <w:pPr>
        <w:pStyle w:val="C05Annotation"/>
        <w:spacing w:before="0" w:after="0" w:line="240" w:lineRule="auto"/>
        <w:contextualSpacing w:val="0"/>
      </w:pPr>
    </w:p>
    <w:tbl>
      <w:tblPr>
        <w:tblStyle w:val="Mercedes-Benz"/>
        <w:tblW w:w="7369" w:type="dxa"/>
        <w:tblLayout w:type="fixed"/>
        <w:tblCellMar>
          <w:right w:w="91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</w:tblGrid>
      <w:tr w:rsidR="00203E59" w:rsidRPr="00B223F3" w14:paraId="5AA6B654" w14:textId="77777777" w:rsidTr="00D4154C">
        <w:trPr>
          <w:trHeight w:val="300"/>
        </w:trPr>
        <w:tc>
          <w:tcPr>
            <w:tcW w:w="4819" w:type="dxa"/>
            <w:noWrap/>
            <w:hideMark/>
          </w:tcPr>
          <w:p w14:paraId="08D53E36" w14:textId="77777777" w:rsidR="00203E59" w:rsidRPr="00B223F3" w:rsidRDefault="00203E59" w:rsidP="00D4154C">
            <w:pPr>
              <w:pStyle w:val="C03-01Tabletextboldleft"/>
              <w:rPr>
                <w:rFonts w:eastAsia="Times New Roman"/>
              </w:rPr>
            </w:pPr>
            <w:r w:rsidRPr="00B223F3">
              <w:rPr>
                <w:rFonts w:eastAsia="Times New Roman"/>
              </w:rPr>
              <w:t>Mercedes-Benz Mobility</w:t>
            </w:r>
          </w:p>
        </w:tc>
        <w:tc>
          <w:tcPr>
            <w:tcW w:w="850" w:type="dxa"/>
            <w:noWrap/>
            <w:hideMark/>
          </w:tcPr>
          <w:p w14:paraId="77C05D4E" w14:textId="0D0AB071" w:rsidR="00203E59" w:rsidRPr="00B223F3" w:rsidRDefault="00AF5BD9" w:rsidP="00D4154C">
            <w:pPr>
              <w:pStyle w:val="C03-02Tabletextboldcentred"/>
            </w:pPr>
            <w:r>
              <w:t>T</w:t>
            </w:r>
            <w:r w:rsidR="00203E59">
              <w:t xml:space="preserve">1 2025 </w:t>
            </w:r>
          </w:p>
        </w:tc>
        <w:tc>
          <w:tcPr>
            <w:tcW w:w="850" w:type="dxa"/>
            <w:noWrap/>
            <w:hideMark/>
          </w:tcPr>
          <w:p w14:paraId="29C86250" w14:textId="4B11848D" w:rsidR="00203E59" w:rsidRPr="00B223F3" w:rsidRDefault="00AF5BD9" w:rsidP="00D4154C">
            <w:pPr>
              <w:pStyle w:val="C03-02Tabletextboldcentred"/>
            </w:pPr>
            <w:r>
              <w:t>T</w:t>
            </w:r>
            <w:r w:rsidR="00203E59">
              <w:t>1 2024</w:t>
            </w:r>
          </w:p>
        </w:tc>
        <w:tc>
          <w:tcPr>
            <w:tcW w:w="850" w:type="dxa"/>
            <w:noWrap/>
            <w:hideMark/>
          </w:tcPr>
          <w:p w14:paraId="07705CF9" w14:textId="2CE79B9B" w:rsidR="00203E59" w:rsidRDefault="00AF5BD9" w:rsidP="00D4154C">
            <w:pPr>
              <w:pStyle w:val="C03-02TabelleTextfettzentriert"/>
              <w:rPr>
                <w:rFonts w:eastAsia="Times New Roman"/>
              </w:rPr>
            </w:pPr>
            <w:r>
              <w:rPr>
                <w:rFonts w:eastAsia="Times New Roman"/>
              </w:rPr>
              <w:t>Variação</w:t>
            </w:r>
          </w:p>
          <w:p w14:paraId="7CAB81FD" w14:textId="77777777" w:rsidR="00203E59" w:rsidRPr="00B223F3" w:rsidRDefault="00203E59" w:rsidP="00D4154C">
            <w:pPr>
              <w:pStyle w:val="C03-02Tabletextboldcentred"/>
            </w:pPr>
            <w:r>
              <w:t>25/24</w:t>
            </w:r>
          </w:p>
        </w:tc>
      </w:tr>
      <w:tr w:rsidR="00203E59" w:rsidRPr="00B223F3" w14:paraId="23D7E32E" w14:textId="77777777" w:rsidTr="00D4154C">
        <w:trPr>
          <w:trHeight w:val="95"/>
        </w:trPr>
        <w:tc>
          <w:tcPr>
            <w:tcW w:w="4819" w:type="dxa"/>
            <w:noWrap/>
          </w:tcPr>
          <w:p w14:paraId="48AD9240" w14:textId="53F1C388" w:rsidR="00203E59" w:rsidRPr="00B223F3" w:rsidRDefault="00203E59" w:rsidP="00D4154C">
            <w:pPr>
              <w:pStyle w:val="C03-01Tabletextboldleft"/>
              <w:rPr>
                <w:rFonts w:eastAsia="Times New Roman"/>
              </w:rPr>
            </w:pPr>
            <w:r w:rsidRPr="00B223F3">
              <w:rPr>
                <w:rFonts w:eastAsia="Times New Roman"/>
              </w:rPr>
              <w:t>Re</w:t>
            </w:r>
            <w:r w:rsidR="00DE02A6">
              <w:rPr>
                <w:rFonts w:eastAsia="Times New Roman"/>
              </w:rPr>
              <w:t>ceita</w:t>
            </w:r>
            <w:r w:rsidRPr="00B223F3">
              <w:rPr>
                <w:rFonts w:eastAsia="Times New Roman"/>
              </w:rPr>
              <w:t>*</w:t>
            </w:r>
          </w:p>
        </w:tc>
        <w:tc>
          <w:tcPr>
            <w:tcW w:w="850" w:type="dxa"/>
            <w:noWrap/>
          </w:tcPr>
          <w:p w14:paraId="45D08401" w14:textId="77777777" w:rsidR="00203E59" w:rsidRPr="00B223F3" w:rsidRDefault="00203E59" w:rsidP="00D4154C">
            <w:pPr>
              <w:pStyle w:val="C02-02Tabletextright"/>
            </w:pPr>
            <w:r w:rsidRPr="002932EF">
              <w:rPr>
                <w:lang w:val="de-DE"/>
              </w:rPr>
              <w:t>6</w:t>
            </w:r>
            <w:r>
              <w:rPr>
                <w:lang w:val="de-DE"/>
              </w:rPr>
              <w:t>,</w:t>
            </w:r>
            <w:r w:rsidRPr="002932EF">
              <w:rPr>
                <w:lang w:val="de-DE"/>
              </w:rPr>
              <w:t>422</w:t>
            </w:r>
          </w:p>
        </w:tc>
        <w:tc>
          <w:tcPr>
            <w:tcW w:w="850" w:type="dxa"/>
            <w:noWrap/>
          </w:tcPr>
          <w:p w14:paraId="6B6503A3" w14:textId="77777777" w:rsidR="00203E59" w:rsidRPr="00B223F3" w:rsidRDefault="00203E59" w:rsidP="00D4154C">
            <w:pPr>
              <w:pStyle w:val="C02-02Tabletextright"/>
            </w:pPr>
            <w:r w:rsidRPr="002932EF">
              <w:rPr>
                <w:lang w:val="de-DE"/>
              </w:rPr>
              <w:t>6</w:t>
            </w:r>
            <w:r>
              <w:rPr>
                <w:lang w:val="de-DE"/>
              </w:rPr>
              <w:t>,</w:t>
            </w:r>
            <w:r w:rsidRPr="002932EF">
              <w:rPr>
                <w:lang w:val="de-DE"/>
              </w:rPr>
              <w:t>855</w:t>
            </w:r>
          </w:p>
        </w:tc>
        <w:tc>
          <w:tcPr>
            <w:tcW w:w="850" w:type="dxa"/>
            <w:noWrap/>
          </w:tcPr>
          <w:p w14:paraId="1D4965EC" w14:textId="77777777" w:rsidR="00203E59" w:rsidRPr="00B223F3" w:rsidRDefault="00203E59" w:rsidP="00D4154C">
            <w:pPr>
              <w:pStyle w:val="C02-02Tabletextright"/>
            </w:pPr>
            <w:r w:rsidRPr="00922A1E">
              <w:rPr>
                <w:lang w:val="de-DE"/>
              </w:rPr>
              <w:t>-6</w:t>
            </w:r>
            <w:r>
              <w:rPr>
                <w:lang w:val="de-DE"/>
              </w:rPr>
              <w:t>.</w:t>
            </w:r>
            <w:r w:rsidRPr="00922A1E">
              <w:rPr>
                <w:lang w:val="de-DE"/>
              </w:rPr>
              <w:t>3%</w:t>
            </w:r>
          </w:p>
        </w:tc>
      </w:tr>
      <w:tr w:rsidR="00203E59" w:rsidRPr="00B223F3" w14:paraId="253167D5" w14:textId="77777777" w:rsidTr="00D4154C">
        <w:trPr>
          <w:trHeight w:val="99"/>
        </w:trPr>
        <w:tc>
          <w:tcPr>
            <w:tcW w:w="4819" w:type="dxa"/>
            <w:noWrap/>
          </w:tcPr>
          <w:p w14:paraId="2C332A63" w14:textId="1345A456" w:rsidR="00203E59" w:rsidRPr="00B223F3" w:rsidRDefault="00203E59" w:rsidP="00D4154C">
            <w:pPr>
              <w:pStyle w:val="C03-01Tabletextboldleft"/>
              <w:rPr>
                <w:rFonts w:eastAsia="Times New Roman"/>
              </w:rPr>
            </w:pPr>
            <w:r w:rsidRPr="00B223F3">
              <w:rPr>
                <w:rFonts w:eastAsia="Times New Roman"/>
              </w:rPr>
              <w:t>N</w:t>
            </w:r>
            <w:r w:rsidR="00BD29C6">
              <w:rPr>
                <w:rFonts w:eastAsia="Times New Roman"/>
              </w:rPr>
              <w:t>ovos negócios</w:t>
            </w:r>
            <w:r w:rsidRPr="00B223F3">
              <w:rPr>
                <w:rFonts w:eastAsia="Times New Roman"/>
              </w:rPr>
              <w:t>*</w:t>
            </w:r>
          </w:p>
        </w:tc>
        <w:tc>
          <w:tcPr>
            <w:tcW w:w="850" w:type="dxa"/>
            <w:noWrap/>
          </w:tcPr>
          <w:p w14:paraId="41EDE72A" w14:textId="77777777" w:rsidR="00203E59" w:rsidRPr="00B223F3" w:rsidRDefault="00203E59" w:rsidP="00D4154C">
            <w:pPr>
              <w:pStyle w:val="C02-02Tabletextright"/>
            </w:pPr>
            <w:r w:rsidRPr="004A0DCA">
              <w:rPr>
                <w:lang w:val="de-DE"/>
              </w:rPr>
              <w:t>13</w:t>
            </w:r>
            <w:r>
              <w:rPr>
                <w:lang w:val="de-DE"/>
              </w:rPr>
              <w:t>,</w:t>
            </w:r>
            <w:r w:rsidRPr="004A0DCA">
              <w:rPr>
                <w:lang w:val="de-DE"/>
              </w:rPr>
              <w:t>622</w:t>
            </w:r>
          </w:p>
        </w:tc>
        <w:tc>
          <w:tcPr>
            <w:tcW w:w="850" w:type="dxa"/>
            <w:noWrap/>
          </w:tcPr>
          <w:p w14:paraId="5ECA0FDF" w14:textId="77777777" w:rsidR="00203E59" w:rsidRPr="00B223F3" w:rsidRDefault="00203E59" w:rsidP="00D4154C">
            <w:pPr>
              <w:pStyle w:val="C02-02Tabletextright"/>
            </w:pPr>
            <w:r w:rsidRPr="004A0DCA">
              <w:rPr>
                <w:lang w:val="de-DE"/>
              </w:rPr>
              <w:t>14</w:t>
            </w:r>
            <w:r>
              <w:rPr>
                <w:lang w:val="de-DE"/>
              </w:rPr>
              <w:t>,</w:t>
            </w:r>
            <w:r w:rsidRPr="004A0DCA">
              <w:rPr>
                <w:lang w:val="de-DE"/>
              </w:rPr>
              <w:t>750</w:t>
            </w:r>
          </w:p>
        </w:tc>
        <w:tc>
          <w:tcPr>
            <w:tcW w:w="850" w:type="dxa"/>
            <w:noWrap/>
          </w:tcPr>
          <w:p w14:paraId="08CFC125" w14:textId="77777777" w:rsidR="00203E59" w:rsidRPr="00B223F3" w:rsidRDefault="00203E59" w:rsidP="00D4154C">
            <w:pPr>
              <w:pStyle w:val="C02-02Tabletextright"/>
            </w:pPr>
            <w:r w:rsidRPr="004A0DCA">
              <w:rPr>
                <w:lang w:val="de-DE"/>
              </w:rPr>
              <w:t>-7</w:t>
            </w:r>
            <w:r>
              <w:rPr>
                <w:lang w:val="de-DE"/>
              </w:rPr>
              <w:t>.</w:t>
            </w:r>
            <w:r w:rsidRPr="004A0DCA">
              <w:rPr>
                <w:lang w:val="de-DE"/>
              </w:rPr>
              <w:t>6%</w:t>
            </w:r>
          </w:p>
        </w:tc>
      </w:tr>
      <w:tr w:rsidR="00203E59" w:rsidRPr="00B223F3" w14:paraId="27CC2FD7" w14:textId="77777777" w:rsidTr="00D4154C">
        <w:trPr>
          <w:trHeight w:val="103"/>
        </w:trPr>
        <w:tc>
          <w:tcPr>
            <w:tcW w:w="4819" w:type="dxa"/>
            <w:noWrap/>
          </w:tcPr>
          <w:p w14:paraId="7369237A" w14:textId="631CBD41" w:rsidR="00203E59" w:rsidRPr="00BD29C6" w:rsidRDefault="00BD29C6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BD29C6">
              <w:rPr>
                <w:rFonts w:eastAsia="Times New Roman"/>
                <w:lang w:val="pt-PT" w:bidi="pt-PT"/>
              </w:rPr>
              <w:t>Volume de contratos (31 de março de 2025)*</w:t>
            </w:r>
          </w:p>
        </w:tc>
        <w:tc>
          <w:tcPr>
            <w:tcW w:w="850" w:type="dxa"/>
            <w:noWrap/>
          </w:tcPr>
          <w:p w14:paraId="2382FC01" w14:textId="77777777" w:rsidR="00203E59" w:rsidRPr="00B223F3" w:rsidRDefault="00203E59" w:rsidP="00D4154C">
            <w:pPr>
              <w:pStyle w:val="C02-02Tabletextright"/>
            </w:pPr>
            <w:r w:rsidRPr="004A0DCA">
              <w:rPr>
                <w:lang w:val="de-DE"/>
              </w:rPr>
              <w:t>133</w:t>
            </w:r>
            <w:r>
              <w:rPr>
                <w:lang w:val="de-DE"/>
              </w:rPr>
              <w:t>,</w:t>
            </w:r>
            <w:r w:rsidRPr="004A0DCA">
              <w:rPr>
                <w:lang w:val="de-DE"/>
              </w:rPr>
              <w:t>680</w:t>
            </w:r>
          </w:p>
        </w:tc>
        <w:tc>
          <w:tcPr>
            <w:tcW w:w="850" w:type="dxa"/>
            <w:noWrap/>
          </w:tcPr>
          <w:p w14:paraId="730A6F6D" w14:textId="77777777" w:rsidR="00203E59" w:rsidRPr="00B223F3" w:rsidRDefault="00203E59" w:rsidP="00D4154C">
            <w:pPr>
              <w:pStyle w:val="C02-02Tabletextright"/>
            </w:pPr>
            <w:r w:rsidRPr="7CB9719D">
              <w:rPr>
                <w:lang w:val="de-DE"/>
              </w:rPr>
              <w:t>138,095**</w:t>
            </w:r>
          </w:p>
        </w:tc>
        <w:tc>
          <w:tcPr>
            <w:tcW w:w="850" w:type="dxa"/>
            <w:noWrap/>
          </w:tcPr>
          <w:p w14:paraId="7261AA39" w14:textId="77777777" w:rsidR="00203E59" w:rsidRPr="00B223F3" w:rsidRDefault="00203E59" w:rsidP="00D4154C">
            <w:pPr>
              <w:pStyle w:val="C02-02Tabletextright"/>
            </w:pPr>
            <w:r w:rsidRPr="004A0DCA">
              <w:rPr>
                <w:lang w:val="de-DE"/>
              </w:rPr>
              <w:t>-3</w:t>
            </w:r>
            <w:r>
              <w:rPr>
                <w:lang w:val="de-DE"/>
              </w:rPr>
              <w:t>.</w:t>
            </w:r>
            <w:r w:rsidRPr="004A0DCA">
              <w:rPr>
                <w:lang w:val="de-DE"/>
              </w:rPr>
              <w:t>2%</w:t>
            </w:r>
          </w:p>
        </w:tc>
      </w:tr>
      <w:tr w:rsidR="00203E59" w:rsidRPr="00B223F3" w14:paraId="78FBB461" w14:textId="77777777" w:rsidTr="00D4154C">
        <w:trPr>
          <w:trHeight w:val="93"/>
        </w:trPr>
        <w:tc>
          <w:tcPr>
            <w:tcW w:w="4819" w:type="dxa"/>
            <w:noWrap/>
          </w:tcPr>
          <w:p w14:paraId="5F540A91" w14:textId="7A6F4898" w:rsidR="00203E59" w:rsidRPr="00BD29C6" w:rsidRDefault="00BD29C6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BD29C6">
              <w:rPr>
                <w:rFonts w:eastAsia="Times New Roman"/>
                <w:lang w:val="pt-PT" w:bidi="pt-PT"/>
              </w:rPr>
              <w:t>Lucros antes de juros e impostos (EBIT)*</w:t>
            </w:r>
          </w:p>
        </w:tc>
        <w:tc>
          <w:tcPr>
            <w:tcW w:w="850" w:type="dxa"/>
            <w:noWrap/>
          </w:tcPr>
          <w:p w14:paraId="3626571C" w14:textId="77777777" w:rsidR="00203E59" w:rsidRPr="00B223F3" w:rsidRDefault="00203E59" w:rsidP="00D4154C">
            <w:pPr>
              <w:pStyle w:val="C02-02Tabletextright"/>
            </w:pPr>
            <w:r w:rsidRPr="00E36A86">
              <w:rPr>
                <w:lang w:val="de-DE"/>
              </w:rPr>
              <w:t>287</w:t>
            </w:r>
          </w:p>
        </w:tc>
        <w:tc>
          <w:tcPr>
            <w:tcW w:w="850" w:type="dxa"/>
            <w:noWrap/>
          </w:tcPr>
          <w:p w14:paraId="77E89F5D" w14:textId="77777777" w:rsidR="00203E59" w:rsidRPr="00B223F3" w:rsidRDefault="00203E59" w:rsidP="00D4154C">
            <w:pPr>
              <w:pStyle w:val="C02-02Tabletextright"/>
            </w:pPr>
            <w:r w:rsidRPr="00425A62">
              <w:rPr>
                <w:lang w:val="de-DE"/>
              </w:rPr>
              <w:t>279</w:t>
            </w:r>
          </w:p>
        </w:tc>
        <w:tc>
          <w:tcPr>
            <w:tcW w:w="850" w:type="dxa"/>
            <w:noWrap/>
          </w:tcPr>
          <w:p w14:paraId="3236BCF4" w14:textId="77777777" w:rsidR="00203E59" w:rsidRPr="00B223F3" w:rsidRDefault="00203E59" w:rsidP="00D4154C">
            <w:pPr>
              <w:pStyle w:val="C02-02Tabletextright"/>
            </w:pPr>
            <w:r w:rsidRPr="00E36A86">
              <w:rPr>
                <w:lang w:val="de-DE"/>
              </w:rPr>
              <w:t>+2</w:t>
            </w:r>
            <w:r>
              <w:rPr>
                <w:lang w:val="de-DE"/>
              </w:rPr>
              <w:t>.</w:t>
            </w:r>
            <w:r w:rsidRPr="00E36A86">
              <w:rPr>
                <w:lang w:val="de-DE"/>
              </w:rPr>
              <w:t>9%</w:t>
            </w:r>
          </w:p>
        </w:tc>
      </w:tr>
      <w:tr w:rsidR="00203E59" w:rsidRPr="00B223F3" w14:paraId="04AFF1CC" w14:textId="77777777" w:rsidTr="00D4154C">
        <w:trPr>
          <w:trHeight w:val="83"/>
        </w:trPr>
        <w:tc>
          <w:tcPr>
            <w:tcW w:w="4819" w:type="dxa"/>
            <w:noWrap/>
          </w:tcPr>
          <w:p w14:paraId="6B43E1F9" w14:textId="33DFF857" w:rsidR="00203E59" w:rsidRPr="00BD29C6" w:rsidRDefault="00BD29C6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BD29C6">
              <w:rPr>
                <w:rFonts w:eastAsia="Times New Roman"/>
                <w:lang w:val="pt-PT" w:bidi="pt-PT"/>
              </w:rPr>
              <w:t>Lucros ajustados antes de juros e impostos (EBIT)*</w:t>
            </w:r>
          </w:p>
        </w:tc>
        <w:tc>
          <w:tcPr>
            <w:tcW w:w="850" w:type="dxa"/>
            <w:noWrap/>
          </w:tcPr>
          <w:p w14:paraId="26410DA9" w14:textId="77777777" w:rsidR="00203E59" w:rsidRPr="00B223F3" w:rsidRDefault="00203E59" w:rsidP="00D4154C">
            <w:pPr>
              <w:pStyle w:val="C02-02Tabletextright"/>
            </w:pPr>
            <w:r w:rsidRPr="000E2863">
              <w:rPr>
                <w:lang w:val="de-DE"/>
              </w:rPr>
              <w:t>287</w:t>
            </w:r>
          </w:p>
        </w:tc>
        <w:tc>
          <w:tcPr>
            <w:tcW w:w="850" w:type="dxa"/>
            <w:noWrap/>
          </w:tcPr>
          <w:p w14:paraId="28B5DE25" w14:textId="77777777" w:rsidR="00203E59" w:rsidRPr="00B223F3" w:rsidRDefault="00203E59" w:rsidP="00D4154C">
            <w:pPr>
              <w:pStyle w:val="C02-02Tabletextright"/>
            </w:pPr>
            <w:r w:rsidRPr="000E2863">
              <w:rPr>
                <w:lang w:val="de-DE"/>
              </w:rPr>
              <w:t>279</w:t>
            </w:r>
          </w:p>
        </w:tc>
        <w:tc>
          <w:tcPr>
            <w:tcW w:w="850" w:type="dxa"/>
            <w:noWrap/>
          </w:tcPr>
          <w:p w14:paraId="6417EB6F" w14:textId="77777777" w:rsidR="00203E59" w:rsidRPr="00B223F3" w:rsidRDefault="00203E59" w:rsidP="00D4154C">
            <w:pPr>
              <w:pStyle w:val="C02-02Tabletextright"/>
            </w:pPr>
            <w:r w:rsidRPr="000E2863">
              <w:rPr>
                <w:lang w:val="de-DE"/>
              </w:rPr>
              <w:t>+2</w:t>
            </w:r>
            <w:r>
              <w:rPr>
                <w:lang w:val="de-DE"/>
              </w:rPr>
              <w:t>.</w:t>
            </w:r>
            <w:r w:rsidRPr="000E2863">
              <w:rPr>
                <w:lang w:val="de-DE"/>
              </w:rPr>
              <w:t>9%</w:t>
            </w:r>
          </w:p>
        </w:tc>
      </w:tr>
      <w:tr w:rsidR="00203E59" w:rsidRPr="00B223F3" w14:paraId="50920A86" w14:textId="77777777" w:rsidTr="00D4154C">
        <w:trPr>
          <w:trHeight w:val="87"/>
        </w:trPr>
        <w:tc>
          <w:tcPr>
            <w:tcW w:w="4819" w:type="dxa"/>
            <w:noWrap/>
          </w:tcPr>
          <w:p w14:paraId="6CDBC4DF" w14:textId="4252B658" w:rsidR="00203E59" w:rsidRPr="00BD29C6" w:rsidRDefault="00BD29C6" w:rsidP="00D4154C">
            <w:pPr>
              <w:pStyle w:val="C03-01Tabletextboldleft"/>
              <w:rPr>
                <w:rFonts w:eastAsia="Times New Roman"/>
                <w:lang w:val="pt-PT"/>
              </w:rPr>
            </w:pPr>
            <w:r w:rsidRPr="00BD29C6">
              <w:rPr>
                <w:rFonts w:eastAsia="Times New Roman"/>
                <w:lang w:val="pt-PT"/>
              </w:rPr>
              <w:t>Retorno ajustado sobre o capital próprio (RoE) em %</w:t>
            </w:r>
            <w:r w:rsidRPr="00BD29C6">
              <w:rPr>
                <w:rFonts w:eastAsia="Times New Roman"/>
                <w:lang w:val="pt-PT"/>
              </w:rPr>
              <w:tab/>
            </w:r>
          </w:p>
        </w:tc>
        <w:tc>
          <w:tcPr>
            <w:tcW w:w="850" w:type="dxa"/>
            <w:noWrap/>
          </w:tcPr>
          <w:p w14:paraId="461C8DD5" w14:textId="77777777" w:rsidR="00203E59" w:rsidRPr="00B223F3" w:rsidRDefault="00203E59" w:rsidP="00D4154C">
            <w:pPr>
              <w:pStyle w:val="C02-02Tabletextright"/>
            </w:pPr>
            <w:r w:rsidRPr="00821D15">
              <w:rPr>
                <w:lang w:val="de-DE"/>
              </w:rPr>
              <w:t>8</w:t>
            </w:r>
            <w:r>
              <w:rPr>
                <w:lang w:val="de-DE"/>
              </w:rPr>
              <w:t>.</w:t>
            </w:r>
            <w:r w:rsidRPr="00821D15">
              <w:rPr>
                <w:lang w:val="de-DE"/>
              </w:rPr>
              <w:t>6</w:t>
            </w:r>
          </w:p>
        </w:tc>
        <w:tc>
          <w:tcPr>
            <w:tcW w:w="850" w:type="dxa"/>
            <w:noWrap/>
          </w:tcPr>
          <w:p w14:paraId="5079F0BB" w14:textId="77777777" w:rsidR="00203E59" w:rsidRPr="00B223F3" w:rsidRDefault="00203E59" w:rsidP="00D4154C">
            <w:pPr>
              <w:pStyle w:val="C02-02Tabletextright"/>
            </w:pPr>
            <w:r w:rsidRPr="00821D15">
              <w:rPr>
                <w:lang w:val="de-DE"/>
              </w:rPr>
              <w:t>8</w:t>
            </w:r>
            <w:r>
              <w:rPr>
                <w:lang w:val="de-DE"/>
              </w:rPr>
              <w:t>.</w:t>
            </w:r>
            <w:r w:rsidRPr="00821D15">
              <w:rPr>
                <w:lang w:val="de-DE"/>
              </w:rPr>
              <w:t>5</w:t>
            </w:r>
          </w:p>
        </w:tc>
        <w:tc>
          <w:tcPr>
            <w:tcW w:w="850" w:type="dxa"/>
            <w:noWrap/>
          </w:tcPr>
          <w:p w14:paraId="7115134B" w14:textId="77777777" w:rsidR="00203E59" w:rsidRPr="00B223F3" w:rsidRDefault="00203E59" w:rsidP="00D4154C">
            <w:pPr>
              <w:pStyle w:val="C02-02Tabletextright"/>
            </w:pPr>
            <w:r>
              <w:t>+0.1%pts</w:t>
            </w:r>
          </w:p>
        </w:tc>
      </w:tr>
    </w:tbl>
    <w:p w14:paraId="0DAA8E46" w14:textId="53F777DE" w:rsidR="00203E59" w:rsidRPr="00B223F3" w:rsidRDefault="00203E59" w:rsidP="00203E59">
      <w:pPr>
        <w:pStyle w:val="C05Annotation"/>
        <w:spacing w:before="0" w:after="0" w:line="240" w:lineRule="auto"/>
      </w:pPr>
      <w:r>
        <w:t xml:space="preserve">* </w:t>
      </w:r>
      <w:r w:rsidR="00BD29C6">
        <w:t>em milhões de</w:t>
      </w:r>
      <w:r>
        <w:t xml:space="preserve"> €</w:t>
      </w:r>
    </w:p>
    <w:p w14:paraId="6320D3DE" w14:textId="20AA153C" w:rsidR="00203E59" w:rsidRPr="00AF5BD9" w:rsidRDefault="00203E59" w:rsidP="00203E59">
      <w:pPr>
        <w:pStyle w:val="C05Annotation"/>
        <w:spacing w:before="0" w:after="0" w:line="240" w:lineRule="auto"/>
        <w:rPr>
          <w:lang w:val="pt-PT"/>
        </w:rPr>
      </w:pPr>
      <w:r w:rsidRPr="00AF5BD9">
        <w:rPr>
          <w:lang w:val="pt-PT"/>
        </w:rPr>
        <w:t xml:space="preserve">** </w:t>
      </w:r>
      <w:r w:rsidR="00AF5BD9" w:rsidRPr="00AF5BD9">
        <w:rPr>
          <w:lang w:val="pt-PT"/>
        </w:rPr>
        <w:t>Valor de fim de a</w:t>
      </w:r>
      <w:r w:rsidR="00AF5BD9">
        <w:rPr>
          <w:lang w:val="pt-PT"/>
        </w:rPr>
        <w:t>no</w:t>
      </w:r>
    </w:p>
    <w:p w14:paraId="7D6CCD94" w14:textId="77777777" w:rsidR="00203E59" w:rsidRPr="00AF5BD9" w:rsidRDefault="00203E59" w:rsidP="00203E59">
      <w:pPr>
        <w:pStyle w:val="A03Copytext"/>
        <w:rPr>
          <w:lang w:val="pt-PT"/>
        </w:rPr>
      </w:pPr>
    </w:p>
    <w:p w14:paraId="5217901D" w14:textId="77777777" w:rsidR="00203E59" w:rsidRPr="00AF5BD9" w:rsidRDefault="00203E59" w:rsidP="00203E59">
      <w:pPr>
        <w:spacing w:after="160" w:line="259" w:lineRule="auto"/>
        <w:rPr>
          <w:rFonts w:ascii="MB Corpo S Text Office" w:hAnsi="MB Corpo S Text Office"/>
          <w:bCs/>
          <w:szCs w:val="21"/>
        </w:rPr>
      </w:pPr>
    </w:p>
    <w:p w14:paraId="26F8F328" w14:textId="77777777" w:rsidR="00203E59" w:rsidRPr="00DD4A25" w:rsidRDefault="00203E59" w:rsidP="00B202A1">
      <w:pPr>
        <w:spacing w:line="240" w:lineRule="auto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sectPr w:rsidR="00203E59" w:rsidRPr="00DD4A25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628E3" w14:textId="77777777" w:rsidR="00D62455" w:rsidRPr="00E675DA" w:rsidRDefault="00D62455" w:rsidP="00764B8C">
      <w:pPr>
        <w:spacing w:line="240" w:lineRule="auto"/>
      </w:pPr>
      <w:r w:rsidRPr="00E675DA">
        <w:separator/>
      </w:r>
    </w:p>
  </w:endnote>
  <w:endnote w:type="continuationSeparator" w:id="0">
    <w:p w14:paraId="7774E0C3" w14:textId="77777777" w:rsidR="00D62455" w:rsidRPr="00E675DA" w:rsidRDefault="00D6245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B4BE" w14:textId="77777777" w:rsidR="00D62455" w:rsidRPr="00E675DA" w:rsidRDefault="00D62455" w:rsidP="00764B8C">
      <w:pPr>
        <w:spacing w:line="240" w:lineRule="auto"/>
      </w:pPr>
      <w:r w:rsidRPr="00E675DA">
        <w:separator/>
      </w:r>
    </w:p>
  </w:footnote>
  <w:footnote w:type="continuationSeparator" w:id="0">
    <w:p w14:paraId="337ED4E3" w14:textId="77777777" w:rsidR="00D62455" w:rsidRPr="00E675DA" w:rsidRDefault="00D62455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4"/>
  </w:num>
  <w:num w:numId="12" w16cid:durableId="503475534">
    <w:abstractNumId w:val="10"/>
  </w:num>
  <w:num w:numId="13" w16cid:durableId="827093364">
    <w:abstractNumId w:val="35"/>
  </w:num>
  <w:num w:numId="14" w16cid:durableId="945311132">
    <w:abstractNumId w:val="38"/>
  </w:num>
  <w:num w:numId="15" w16cid:durableId="1653287464">
    <w:abstractNumId w:val="17"/>
  </w:num>
  <w:num w:numId="16" w16cid:durableId="12846016">
    <w:abstractNumId w:val="31"/>
  </w:num>
  <w:num w:numId="17" w16cid:durableId="1163355625">
    <w:abstractNumId w:val="29"/>
  </w:num>
  <w:num w:numId="18" w16cid:durableId="86465335">
    <w:abstractNumId w:val="13"/>
  </w:num>
  <w:num w:numId="19" w16cid:durableId="320893928">
    <w:abstractNumId w:val="32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2"/>
  </w:num>
  <w:num w:numId="23" w16cid:durableId="804931407">
    <w:abstractNumId w:val="24"/>
  </w:num>
  <w:num w:numId="24" w16cid:durableId="568462142">
    <w:abstractNumId w:val="37"/>
  </w:num>
  <w:num w:numId="25" w16cid:durableId="1304967746">
    <w:abstractNumId w:val="39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0"/>
  </w:num>
  <w:num w:numId="29" w16cid:durableId="1685980006">
    <w:abstractNumId w:val="11"/>
  </w:num>
  <w:num w:numId="30" w16cid:durableId="1529490436">
    <w:abstractNumId w:val="26"/>
  </w:num>
  <w:num w:numId="31" w16cid:durableId="2129468338">
    <w:abstractNumId w:val="20"/>
  </w:num>
  <w:num w:numId="32" w16cid:durableId="1818376290">
    <w:abstractNumId w:val="23"/>
  </w:num>
  <w:num w:numId="33" w16cid:durableId="1524319763">
    <w:abstractNumId w:val="19"/>
  </w:num>
  <w:num w:numId="34" w16cid:durableId="840778737">
    <w:abstractNumId w:val="28"/>
  </w:num>
  <w:num w:numId="35" w16cid:durableId="999311720">
    <w:abstractNumId w:val="40"/>
  </w:num>
  <w:num w:numId="36" w16cid:durableId="608664546">
    <w:abstractNumId w:val="25"/>
  </w:num>
  <w:num w:numId="37" w16cid:durableId="541285179">
    <w:abstractNumId w:val="21"/>
  </w:num>
  <w:num w:numId="38" w16cid:durableId="787701978">
    <w:abstractNumId w:val="33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1"/>
  </w:num>
  <w:num w:numId="42" w16cid:durableId="343557406">
    <w:abstractNumId w:val="27"/>
  </w:num>
  <w:num w:numId="43" w16cid:durableId="174399012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0D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16D"/>
    <w:rsid w:val="00053243"/>
    <w:rsid w:val="00053554"/>
    <w:rsid w:val="00053C2C"/>
    <w:rsid w:val="00053ECE"/>
    <w:rsid w:val="00053F36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A2B"/>
    <w:rsid w:val="00076F7A"/>
    <w:rsid w:val="000802DD"/>
    <w:rsid w:val="0008044E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48A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468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267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4C0C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573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C79"/>
    <w:rsid w:val="001A6FC7"/>
    <w:rsid w:val="001A79CF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3E59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8FE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204FD"/>
    <w:rsid w:val="0022182A"/>
    <w:rsid w:val="00223A21"/>
    <w:rsid w:val="00223BBF"/>
    <w:rsid w:val="00223E2A"/>
    <w:rsid w:val="00224242"/>
    <w:rsid w:val="0022434C"/>
    <w:rsid w:val="002247E1"/>
    <w:rsid w:val="002302F0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52D8"/>
    <w:rsid w:val="00246F7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85E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AE5"/>
    <w:rsid w:val="00294B50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07FC"/>
    <w:rsid w:val="003136C4"/>
    <w:rsid w:val="003147C5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4F"/>
    <w:rsid w:val="00345FD2"/>
    <w:rsid w:val="00346B82"/>
    <w:rsid w:val="003472FD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08"/>
    <w:rsid w:val="003B687C"/>
    <w:rsid w:val="003B6E31"/>
    <w:rsid w:val="003C015E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20B7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0B2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534B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976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BB9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0844"/>
    <w:rsid w:val="004C1A4D"/>
    <w:rsid w:val="004C2313"/>
    <w:rsid w:val="004C43DC"/>
    <w:rsid w:val="004C45F4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5A46"/>
    <w:rsid w:val="004E6008"/>
    <w:rsid w:val="004F0B18"/>
    <w:rsid w:val="004F0D8D"/>
    <w:rsid w:val="004F10B6"/>
    <w:rsid w:val="004F1A6F"/>
    <w:rsid w:val="004F34DB"/>
    <w:rsid w:val="004F3CF6"/>
    <w:rsid w:val="004F4885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2F26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4F96"/>
    <w:rsid w:val="00585297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163D"/>
    <w:rsid w:val="00592A5E"/>
    <w:rsid w:val="00592BC0"/>
    <w:rsid w:val="0059450D"/>
    <w:rsid w:val="00597435"/>
    <w:rsid w:val="00597F49"/>
    <w:rsid w:val="005A0AAB"/>
    <w:rsid w:val="005A130F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14F1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BE0"/>
    <w:rsid w:val="00603C11"/>
    <w:rsid w:val="006040FB"/>
    <w:rsid w:val="006048AF"/>
    <w:rsid w:val="00605BB9"/>
    <w:rsid w:val="006100C2"/>
    <w:rsid w:val="00610876"/>
    <w:rsid w:val="00611096"/>
    <w:rsid w:val="00611281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77B90"/>
    <w:rsid w:val="00680098"/>
    <w:rsid w:val="00680F0A"/>
    <w:rsid w:val="00681E2E"/>
    <w:rsid w:val="00682A12"/>
    <w:rsid w:val="0068346B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EA5"/>
    <w:rsid w:val="00696F53"/>
    <w:rsid w:val="00697428"/>
    <w:rsid w:val="00697C6B"/>
    <w:rsid w:val="006A36F7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B8E"/>
    <w:rsid w:val="006F0D19"/>
    <w:rsid w:val="006F1476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611"/>
    <w:rsid w:val="00734809"/>
    <w:rsid w:val="00735384"/>
    <w:rsid w:val="007356F3"/>
    <w:rsid w:val="0073624D"/>
    <w:rsid w:val="007362F7"/>
    <w:rsid w:val="00737DD3"/>
    <w:rsid w:val="007401F2"/>
    <w:rsid w:val="007414C6"/>
    <w:rsid w:val="00741927"/>
    <w:rsid w:val="00742179"/>
    <w:rsid w:val="007423F4"/>
    <w:rsid w:val="00742989"/>
    <w:rsid w:val="007429C9"/>
    <w:rsid w:val="00742C3C"/>
    <w:rsid w:val="00742F29"/>
    <w:rsid w:val="00743C0C"/>
    <w:rsid w:val="00745850"/>
    <w:rsid w:val="00746028"/>
    <w:rsid w:val="007510B4"/>
    <w:rsid w:val="00751366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6387"/>
    <w:rsid w:val="00766C52"/>
    <w:rsid w:val="007670F1"/>
    <w:rsid w:val="00767139"/>
    <w:rsid w:val="00767FA7"/>
    <w:rsid w:val="007705D8"/>
    <w:rsid w:val="00771D96"/>
    <w:rsid w:val="00771EAD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5F0F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46F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0D2F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17D17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5E39"/>
    <w:rsid w:val="00836AAA"/>
    <w:rsid w:val="00836AB6"/>
    <w:rsid w:val="00836BE5"/>
    <w:rsid w:val="008378E2"/>
    <w:rsid w:val="008425EC"/>
    <w:rsid w:val="00843204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57BA2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08E"/>
    <w:rsid w:val="008712E2"/>
    <w:rsid w:val="00871513"/>
    <w:rsid w:val="00872398"/>
    <w:rsid w:val="00872950"/>
    <w:rsid w:val="00872D30"/>
    <w:rsid w:val="00874AC7"/>
    <w:rsid w:val="0087532A"/>
    <w:rsid w:val="008757F1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035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4473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4D1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52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006F"/>
    <w:rsid w:val="009616AA"/>
    <w:rsid w:val="00961AD1"/>
    <w:rsid w:val="009626CB"/>
    <w:rsid w:val="00964CF0"/>
    <w:rsid w:val="00965540"/>
    <w:rsid w:val="00966192"/>
    <w:rsid w:val="00966A58"/>
    <w:rsid w:val="009675E5"/>
    <w:rsid w:val="00967FBD"/>
    <w:rsid w:val="00970556"/>
    <w:rsid w:val="00970AA2"/>
    <w:rsid w:val="00971B98"/>
    <w:rsid w:val="00971C10"/>
    <w:rsid w:val="00972DBE"/>
    <w:rsid w:val="00972E25"/>
    <w:rsid w:val="00973F29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D06"/>
    <w:rsid w:val="009F64F6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0E4D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07E"/>
    <w:rsid w:val="00A779EB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3081"/>
    <w:rsid w:val="00AA420E"/>
    <w:rsid w:val="00AA4BE0"/>
    <w:rsid w:val="00AA5242"/>
    <w:rsid w:val="00AA5415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4A9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716"/>
    <w:rsid w:val="00AF495B"/>
    <w:rsid w:val="00AF4EE6"/>
    <w:rsid w:val="00AF59F9"/>
    <w:rsid w:val="00AF5BD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9C6"/>
    <w:rsid w:val="00BD2AB4"/>
    <w:rsid w:val="00BD3B2E"/>
    <w:rsid w:val="00BD3EBC"/>
    <w:rsid w:val="00BD4FFD"/>
    <w:rsid w:val="00BD5E3F"/>
    <w:rsid w:val="00BD6F77"/>
    <w:rsid w:val="00BD75C7"/>
    <w:rsid w:val="00BE25FE"/>
    <w:rsid w:val="00BE268D"/>
    <w:rsid w:val="00BE3700"/>
    <w:rsid w:val="00BE4503"/>
    <w:rsid w:val="00BE47BF"/>
    <w:rsid w:val="00BE4EC6"/>
    <w:rsid w:val="00BE5483"/>
    <w:rsid w:val="00BF1911"/>
    <w:rsid w:val="00BF1F15"/>
    <w:rsid w:val="00BF1F17"/>
    <w:rsid w:val="00BF3645"/>
    <w:rsid w:val="00BF425F"/>
    <w:rsid w:val="00BF5008"/>
    <w:rsid w:val="00BF55EC"/>
    <w:rsid w:val="00BF5B4B"/>
    <w:rsid w:val="00C00AD5"/>
    <w:rsid w:val="00C00C07"/>
    <w:rsid w:val="00C0339C"/>
    <w:rsid w:val="00C0478C"/>
    <w:rsid w:val="00C061F7"/>
    <w:rsid w:val="00C074C2"/>
    <w:rsid w:val="00C108C2"/>
    <w:rsid w:val="00C122B6"/>
    <w:rsid w:val="00C126D9"/>
    <w:rsid w:val="00C12918"/>
    <w:rsid w:val="00C1341C"/>
    <w:rsid w:val="00C1364F"/>
    <w:rsid w:val="00C16186"/>
    <w:rsid w:val="00C16FEF"/>
    <w:rsid w:val="00C172BF"/>
    <w:rsid w:val="00C2022F"/>
    <w:rsid w:val="00C213BE"/>
    <w:rsid w:val="00C21893"/>
    <w:rsid w:val="00C21D9F"/>
    <w:rsid w:val="00C21DD6"/>
    <w:rsid w:val="00C2371C"/>
    <w:rsid w:val="00C23B18"/>
    <w:rsid w:val="00C23FA9"/>
    <w:rsid w:val="00C2494C"/>
    <w:rsid w:val="00C24F06"/>
    <w:rsid w:val="00C259AD"/>
    <w:rsid w:val="00C25F44"/>
    <w:rsid w:val="00C264ED"/>
    <w:rsid w:val="00C26F53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2DF5"/>
    <w:rsid w:val="00C74989"/>
    <w:rsid w:val="00C74AD5"/>
    <w:rsid w:val="00C755ED"/>
    <w:rsid w:val="00C75CC5"/>
    <w:rsid w:val="00C76248"/>
    <w:rsid w:val="00C762FC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420"/>
    <w:rsid w:val="00C85907"/>
    <w:rsid w:val="00C85DB2"/>
    <w:rsid w:val="00C85E28"/>
    <w:rsid w:val="00C871E7"/>
    <w:rsid w:val="00C87329"/>
    <w:rsid w:val="00C90432"/>
    <w:rsid w:val="00C9151A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2A02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42E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11B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7E4"/>
    <w:rsid w:val="00CF1336"/>
    <w:rsid w:val="00CF2735"/>
    <w:rsid w:val="00CF3010"/>
    <w:rsid w:val="00CF31BC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9E4"/>
    <w:rsid w:val="00D56EB6"/>
    <w:rsid w:val="00D57076"/>
    <w:rsid w:val="00D62455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5EF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6911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4A25"/>
    <w:rsid w:val="00DD625C"/>
    <w:rsid w:val="00DD6E39"/>
    <w:rsid w:val="00DD6F38"/>
    <w:rsid w:val="00DE02A6"/>
    <w:rsid w:val="00DE06D6"/>
    <w:rsid w:val="00DE10AD"/>
    <w:rsid w:val="00DE117C"/>
    <w:rsid w:val="00DE2008"/>
    <w:rsid w:val="00DE21B7"/>
    <w:rsid w:val="00DE3311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783"/>
    <w:rsid w:val="00E30C1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509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D7AF8"/>
    <w:rsid w:val="00EE0E8D"/>
    <w:rsid w:val="00EE26C9"/>
    <w:rsid w:val="00EE3826"/>
    <w:rsid w:val="00EE384C"/>
    <w:rsid w:val="00EE4940"/>
    <w:rsid w:val="00EF036B"/>
    <w:rsid w:val="00EF03A4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68B4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A6E"/>
    <w:rsid w:val="00FA0B3C"/>
    <w:rsid w:val="00FA2535"/>
    <w:rsid w:val="00FA3B67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3F99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99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C01TabelleTitel">
    <w:name w:val="C01_Tabelle Titel"/>
    <w:qFormat/>
    <w:rsid w:val="00345F4F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 w:bidi="ar-SA"/>
      <w14:ligatures w14:val="standardContextual"/>
    </w:rPr>
  </w:style>
  <w:style w:type="paragraph" w:customStyle="1" w:styleId="C05Legende">
    <w:name w:val="C05_Legende"/>
    <w:qFormat/>
    <w:rsid w:val="00345F4F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de-DE" w:eastAsia="de-DE" w:bidi="ar-SA"/>
      <w14:ligatures w14:val="standardContextual"/>
    </w:rPr>
  </w:style>
  <w:style w:type="paragraph" w:customStyle="1" w:styleId="C04TabelleAufzhlung">
    <w:name w:val="C04_Tabelle Aufzählung"/>
    <w:basedOn w:val="Normal"/>
    <w:qFormat/>
    <w:rsid w:val="00345F4F"/>
    <w:pPr>
      <w:spacing w:line="240" w:lineRule="auto"/>
      <w:ind w:left="215" w:hanging="215"/>
    </w:pPr>
    <w:rPr>
      <w:rFonts w:asciiTheme="minorHAnsi" w:eastAsia="Times New Roman" w:hAnsiTheme="minorHAnsi" w:cs="Calibri"/>
      <w:kern w:val="2"/>
      <w:sz w:val="15"/>
      <w:szCs w:val="15"/>
      <w:lang w:val="de-DE" w:eastAsia="de-DE" w:bidi="ar-SA"/>
      <w14:ligatures w14:val="standardContextual"/>
    </w:rPr>
  </w:style>
  <w:style w:type="paragraph" w:customStyle="1" w:styleId="C02TabelleText">
    <w:name w:val="C02_Tabelle Text"/>
    <w:qFormat/>
    <w:rsid w:val="00345F4F"/>
    <w:pPr>
      <w:spacing w:after="0" w:line="240" w:lineRule="auto"/>
    </w:pPr>
    <w:rPr>
      <w:rFonts w:eastAsiaTheme="minorEastAsia"/>
      <w:kern w:val="2"/>
      <w:sz w:val="15"/>
      <w:szCs w:val="24"/>
      <w:lang w:val="de-DE" w:eastAsia="de-DE" w:bidi="ar-SA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345F4F"/>
    <w:rPr>
      <w:rFonts w:ascii="MB Corpo S Text Office" w:hAnsi="MB Corpo S Text Office"/>
    </w:rPr>
  </w:style>
  <w:style w:type="paragraph" w:customStyle="1" w:styleId="A03Copytext">
    <w:name w:val="A03_Copy text"/>
    <w:qFormat/>
    <w:rsid w:val="00771EAD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D05Boilerplate">
    <w:name w:val="D05_Boilerplate"/>
    <w:basedOn w:val="A03Copytext"/>
    <w:qFormat/>
    <w:rsid w:val="00771EAD"/>
    <w:pPr>
      <w:spacing w:line="170" w:lineRule="exact"/>
    </w:pPr>
    <w:rPr>
      <w:sz w:val="15"/>
    </w:rPr>
  </w:style>
  <w:style w:type="paragraph" w:customStyle="1" w:styleId="A05Subheadline">
    <w:name w:val="A05_Subheadline"/>
    <w:next w:val="A03Copytext"/>
    <w:qFormat/>
    <w:rsid w:val="006F0B8E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3-01Tabletextboldleft">
    <w:name w:val="C03-01_Table text bold left"/>
    <w:qFormat/>
    <w:rsid w:val="00203E59"/>
    <w:rPr>
      <w:rFonts w:ascii="MB Corpo S Text Office" w:eastAsiaTheme="minorEastAsia" w:hAnsi="MB Corpo S Text Office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-02Tabletextboldcentred">
    <w:name w:val="C03-02_Table text bold centred"/>
    <w:rsid w:val="00203E59"/>
    <w:pPr>
      <w:jc w:val="center"/>
    </w:pPr>
    <w:rPr>
      <w:rFonts w:ascii="MB Corpo S Text Office" w:eastAsia="Times New Roman" w:hAnsi="MB Corpo S Text Office" w:cs="Times New Roman"/>
      <w:kern w:val="2"/>
      <w:sz w:val="15"/>
      <w:szCs w:val="20"/>
      <w:lang w:val="en-GB" w:eastAsia="de-DE" w:bidi="ar-SA"/>
      <w14:ligatures w14:val="standardContextual"/>
    </w:rPr>
  </w:style>
  <w:style w:type="paragraph" w:customStyle="1" w:styleId="C02-02Tabletextright">
    <w:name w:val="C02-02_Table text right"/>
    <w:rsid w:val="00203E59"/>
    <w:pPr>
      <w:jc w:val="right"/>
    </w:pPr>
    <w:rPr>
      <w:rFonts w:ascii="MB Corpo S Text Office Light" w:eastAsia="Times New Roman" w:hAnsi="MB Corpo S Text Office Light" w:cs="Times New Roman"/>
      <w:kern w:val="2"/>
      <w:sz w:val="15"/>
      <w:szCs w:val="20"/>
      <w:lang w:val="en-GB" w:eastAsia="de-DE" w:bidi="ar-SA"/>
      <w14:ligatures w14:val="standardContextual"/>
    </w:rPr>
  </w:style>
  <w:style w:type="paragraph" w:customStyle="1" w:styleId="C03-02TabelleTextfettzentriert">
    <w:name w:val="C03-02_Tabelle Text fett zentriert"/>
    <w:basedOn w:val="Normal"/>
    <w:qFormat/>
    <w:rsid w:val="00203E59"/>
    <w:pPr>
      <w:spacing w:line="240" w:lineRule="auto"/>
      <w:jc w:val="center"/>
    </w:pPr>
    <w:rPr>
      <w:rFonts w:ascii="MB Corpo S Text Office" w:eastAsiaTheme="minorEastAsia" w:hAnsi="MB Corpo S Text Office"/>
      <w:kern w:val="2"/>
      <w:sz w:val="15"/>
      <w:szCs w:val="24"/>
      <w:lang w:val="de-DE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1150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6</cp:revision>
  <cp:lastPrinted>2025-04-30T11:54:00Z</cp:lastPrinted>
  <dcterms:created xsi:type="dcterms:W3CDTF">2025-04-30T11:54:00Z</dcterms:created>
  <dcterms:modified xsi:type="dcterms:W3CDTF">2025-04-30T12:08:00Z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